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B9132" w14:textId="77777777" w:rsidR="0033776B" w:rsidRPr="00135BB1" w:rsidRDefault="0033776B" w:rsidP="00D67CB8">
      <w:pPr>
        <w:jc w:val="center"/>
        <w:rPr>
          <w:rFonts w:cs="Times New Roman"/>
          <w:color w:val="76923C"/>
          <w:lang w:val="fr-FR"/>
        </w:rPr>
      </w:pPr>
    </w:p>
    <w:tbl>
      <w:tblPr>
        <w:tblW w:w="10915" w:type="dxa"/>
        <w:tblInd w:w="-601" w:type="dxa"/>
        <w:tblLook w:val="04A0" w:firstRow="1" w:lastRow="0" w:firstColumn="1" w:lastColumn="0" w:noHBand="0" w:noVBand="1"/>
      </w:tblPr>
      <w:tblGrid>
        <w:gridCol w:w="5389"/>
        <w:gridCol w:w="5526"/>
      </w:tblGrid>
      <w:tr w:rsidR="00004DBB" w:rsidRPr="00135BB1" w14:paraId="594DEA72" w14:textId="77777777" w:rsidTr="005969E9">
        <w:tc>
          <w:tcPr>
            <w:tcW w:w="5389" w:type="dxa"/>
            <w:shd w:val="clear" w:color="auto" w:fill="auto"/>
          </w:tcPr>
          <w:p w14:paraId="7ECE15EF" w14:textId="77777777" w:rsidR="00004DBB" w:rsidRPr="00135BB1" w:rsidRDefault="00004DBB" w:rsidP="005969E9">
            <w:pPr>
              <w:jc w:val="center"/>
              <w:rPr>
                <w:lang w:val="fr-FR"/>
              </w:rPr>
            </w:pPr>
          </w:p>
          <w:p w14:paraId="432C6BCF" w14:textId="77777777" w:rsidR="00004DBB" w:rsidRPr="00135BB1" w:rsidRDefault="00004DBB" w:rsidP="005969E9">
            <w:pPr>
              <w:jc w:val="center"/>
              <w:rPr>
                <w:rFonts w:cs="Times New Roman"/>
                <w:b/>
                <w:lang w:val="fr-FR"/>
              </w:rPr>
            </w:pPr>
          </w:p>
        </w:tc>
        <w:tc>
          <w:tcPr>
            <w:tcW w:w="5526" w:type="dxa"/>
            <w:shd w:val="clear" w:color="auto" w:fill="auto"/>
          </w:tcPr>
          <w:p w14:paraId="1A30B2F4" w14:textId="77777777" w:rsidR="00004DBB" w:rsidRPr="00135BB1" w:rsidRDefault="00EB7CC1" w:rsidP="005969E9">
            <w:pPr>
              <w:jc w:val="right"/>
              <w:rPr>
                <w:rFonts w:cs="Times New Roman"/>
                <w:b/>
                <w:lang w:val="fr-FR"/>
              </w:rPr>
            </w:pPr>
            <w:r w:rsidRPr="005969E9">
              <w:rPr>
                <w:rFonts w:ascii="Times New Roman" w:eastAsia="Times New Roman" w:hAnsi="Times New Roman"/>
                <w:noProof/>
                <w:sz w:val="20"/>
                <w:szCs w:val="20"/>
                <w:lang w:val="fr-FR" w:eastAsia="fr-FR"/>
              </w:rPr>
              <w:drawing>
                <wp:inline distT="0" distB="0" distL="0" distR="0" wp14:anchorId="5B430083" wp14:editId="34779308">
                  <wp:extent cx="836930" cy="1266190"/>
                  <wp:effectExtent l="0" t="0" r="0" b="0"/>
                  <wp:docPr id="1"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7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6930" cy="1266190"/>
                          </a:xfrm>
                          <a:prstGeom prst="rect">
                            <a:avLst/>
                          </a:prstGeom>
                          <a:noFill/>
                          <a:ln>
                            <a:noFill/>
                          </a:ln>
                        </pic:spPr>
                      </pic:pic>
                    </a:graphicData>
                  </a:graphic>
                </wp:inline>
              </w:drawing>
            </w:r>
          </w:p>
        </w:tc>
      </w:tr>
    </w:tbl>
    <w:p w14:paraId="1D27ECE9" w14:textId="77777777" w:rsidR="0033776B" w:rsidRPr="00135BB1" w:rsidRDefault="0033776B" w:rsidP="00D67CB8">
      <w:pPr>
        <w:jc w:val="center"/>
        <w:rPr>
          <w:rFonts w:cs="Times New Roman"/>
          <w:b/>
          <w:lang w:val="fr-FR"/>
        </w:rPr>
      </w:pPr>
    </w:p>
    <w:p w14:paraId="1FB863CA" w14:textId="77777777" w:rsidR="00D67CB8" w:rsidRPr="00135BB1" w:rsidRDefault="00B05440" w:rsidP="00D67CB8">
      <w:pPr>
        <w:jc w:val="center"/>
        <w:rPr>
          <w:rFonts w:cs="Times New Roman"/>
          <w:b/>
          <w:sz w:val="32"/>
          <w:szCs w:val="32"/>
          <w:lang w:val="fr-FR"/>
        </w:rPr>
      </w:pPr>
      <w:r w:rsidRPr="00135BB1">
        <w:rPr>
          <w:rFonts w:cs="Times New Roman"/>
          <w:b/>
          <w:sz w:val="32"/>
          <w:szCs w:val="32"/>
          <w:lang w:val="fr-FR"/>
        </w:rPr>
        <w:t>MODÈLE DE RAPPORT</w:t>
      </w:r>
    </w:p>
    <w:p w14:paraId="7FD8F83F" w14:textId="77777777" w:rsidR="00D67CB8" w:rsidRPr="00135BB1" w:rsidRDefault="00EB7CC1" w:rsidP="00D67CB8">
      <w:pPr>
        <w:rPr>
          <w:rFonts w:cs="Times New Roman"/>
          <w:b/>
          <w:u w:val="single"/>
          <w:lang w:val="fr-FR"/>
        </w:rPr>
      </w:pPr>
      <w:r>
        <w:rPr>
          <w:noProof/>
          <w:lang w:val="fr-FR" w:eastAsia="fr-FR"/>
        </w:rPr>
        <mc:AlternateContent>
          <mc:Choice Requires="wps">
            <w:drawing>
              <wp:anchor distT="4294967287" distB="4294967287" distL="114300" distR="114300" simplePos="0" relativeHeight="251657728" behindDoc="0" locked="0" layoutInCell="1" allowOverlap="1" wp14:anchorId="6A5073E5" wp14:editId="2B7AF7CD">
                <wp:simplePos x="0" y="0"/>
                <wp:positionH relativeFrom="column">
                  <wp:posOffset>200025</wp:posOffset>
                </wp:positionH>
                <wp:positionV relativeFrom="paragraph">
                  <wp:posOffset>115569</wp:posOffset>
                </wp:positionV>
                <wp:extent cx="5543550" cy="0"/>
                <wp:effectExtent l="38100" t="38100" r="19050" b="76200"/>
                <wp:wrapTight wrapText="bothSides">
                  <wp:wrapPolygon edited="0">
                    <wp:start x="-99" y="-1"/>
                    <wp:lineTo x="-148" y="-1"/>
                    <wp:lineTo x="-148" y="-1"/>
                    <wp:lineTo x="-99" y="-1"/>
                    <wp:lineTo x="21674" y="-1"/>
                    <wp:lineTo x="21674" y="-1"/>
                    <wp:lineTo x="-99" y="-1"/>
                  </wp:wrapPolygon>
                </wp:wrapTight>
                <wp:docPr id="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43550" cy="0"/>
                        </a:xfrm>
                        <a:prstGeom prst="line">
                          <a:avLst/>
                        </a:prstGeom>
                        <a:noFill/>
                        <a:ln w="44450">
                          <a:solidFill>
                            <a:srgbClr val="4A7EBB"/>
                          </a:solidFill>
                          <a:round/>
                          <a:headEnd/>
                          <a:tailEnd/>
                        </a:ln>
                        <a:effectLst>
                          <a:outerShdw blurRad="38100" dist="25400" dir="5400000" algn="ctr" rotWithShape="0">
                            <a:srgbClr val="808080">
                              <a:alpha val="35001"/>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FF13740" id="Straight Connector 3" o:spid="_x0000_s1026" style="position:absolute;z-index:251657728;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15.75pt,9.1pt" to="452.2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" strokecolor="#4a7ebb" strokeweight="3.5pt">
                <v:shadow on="t" opacity="22938f" offset="0"/>
                <o:lock v:ext="edit" shapetype="f"/>
                <w10:wrap type="tight"/>
              </v:line>
            </w:pict>
          </mc:Fallback>
        </mc:AlternateContent>
      </w:r>
    </w:p>
    <w:p w14:paraId="41B88E1C" w14:textId="77777777" w:rsidR="00396487" w:rsidRPr="00135BB1" w:rsidRDefault="00396487" w:rsidP="00EC22AD">
      <w:pPr>
        <w:rPr>
          <w:rFonts w:cs="Times New Roman"/>
          <w:color w:val="76923C"/>
          <w:lang w:val="fr-FR"/>
        </w:rPr>
      </w:pPr>
    </w:p>
    <w:tbl>
      <w:tblPr>
        <w:tblW w:w="10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8"/>
        <w:gridCol w:w="2160"/>
        <w:gridCol w:w="3623"/>
        <w:gridCol w:w="3174"/>
      </w:tblGrid>
      <w:tr w:rsidR="00F67191" w:rsidRPr="00B12AE6" w14:paraId="448AA159" w14:textId="77777777" w:rsidTr="00F67191">
        <w:trPr>
          <w:trHeight w:val="253"/>
          <w:jc w:val="center"/>
        </w:trPr>
        <w:tc>
          <w:tcPr>
            <w:tcW w:w="10895" w:type="dxa"/>
            <w:gridSpan w:val="4"/>
            <w:tcBorders>
              <w:top w:val="single" w:sz="4" w:space="0" w:color="auto"/>
              <w:left w:val="single" w:sz="4" w:space="0" w:color="auto"/>
              <w:bottom w:val="single" w:sz="4" w:space="0" w:color="auto"/>
              <w:right w:val="single" w:sz="4" w:space="0" w:color="auto"/>
            </w:tcBorders>
            <w:shd w:val="clear" w:color="auto" w:fill="BDD6EE"/>
          </w:tcPr>
          <w:p w14:paraId="6030A083" w14:textId="77777777" w:rsidR="00F67191" w:rsidRPr="00135BB1" w:rsidRDefault="00B05440" w:rsidP="0015616F">
            <w:pPr>
              <w:pStyle w:val="Paragraphedeliste"/>
              <w:numPr>
                <w:ilvl w:val="0"/>
                <w:numId w:val="2"/>
              </w:numPr>
              <w:spacing w:after="120" w:line="240" w:lineRule="auto"/>
              <w:rPr>
                <w:rFonts w:cs="Times New Roman"/>
                <w:b/>
                <w:bCs/>
                <w:sz w:val="24"/>
                <w:szCs w:val="24"/>
                <w:lang w:val="fr-FR"/>
              </w:rPr>
            </w:pPr>
            <w:r w:rsidRPr="00135BB1">
              <w:rPr>
                <w:rFonts w:cs="Times New Roman"/>
                <w:b/>
                <w:bCs/>
                <w:sz w:val="24"/>
                <w:szCs w:val="24"/>
                <w:lang w:val="fr-FR"/>
              </w:rPr>
              <w:t>Aperçu du projet et des OSC</w:t>
            </w:r>
          </w:p>
        </w:tc>
      </w:tr>
      <w:tr w:rsidR="00F67191" w:rsidRPr="00B12AE6" w14:paraId="3E86F4C4" w14:textId="77777777" w:rsidTr="00CB72F6">
        <w:trPr>
          <w:jc w:val="center"/>
        </w:trPr>
        <w:tc>
          <w:tcPr>
            <w:tcW w:w="1938" w:type="dxa"/>
            <w:shd w:val="clear" w:color="auto" w:fill="BDD6EE"/>
          </w:tcPr>
          <w:p w14:paraId="155CB26B" w14:textId="77777777" w:rsidR="00F67191" w:rsidRPr="00135BB1" w:rsidRDefault="00F67191" w:rsidP="00F67191">
            <w:pPr>
              <w:pStyle w:val="Paragraphedeliste"/>
              <w:spacing w:after="0" w:line="240" w:lineRule="auto"/>
              <w:ind w:left="0"/>
              <w:rPr>
                <w:rFonts w:cs="Times New Roman"/>
                <w:color w:val="000000"/>
                <w:lang w:val="fr-FR"/>
              </w:rPr>
            </w:pPr>
            <w:r w:rsidRPr="00135BB1">
              <w:rPr>
                <w:rFonts w:cs="Times New Roman"/>
                <w:color w:val="000000"/>
                <w:lang w:val="fr-FR"/>
              </w:rPr>
              <w:t xml:space="preserve">1.1 </w:t>
            </w:r>
            <w:r w:rsidR="00B05440" w:rsidRPr="00135BB1">
              <w:rPr>
                <w:rFonts w:cs="Times New Roman"/>
                <w:color w:val="000000"/>
                <w:lang w:val="fr-FR"/>
              </w:rPr>
              <w:t>Nom du projet</w:t>
            </w:r>
          </w:p>
        </w:tc>
        <w:tc>
          <w:tcPr>
            <w:tcW w:w="8957" w:type="dxa"/>
            <w:gridSpan w:val="3"/>
          </w:tcPr>
          <w:p w14:paraId="2035799B" w14:textId="77777777" w:rsidR="00F67191" w:rsidRPr="00135BB1" w:rsidRDefault="004B42E3" w:rsidP="005058E4">
            <w:pPr>
              <w:rPr>
                <w:lang w:val="fr-FR"/>
              </w:rPr>
            </w:pPr>
            <w:r w:rsidRPr="004B42E3">
              <w:rPr>
                <w:bCs/>
                <w:lang w:val="fr-FR"/>
              </w:rPr>
              <w:t>Gestion communautaire des ressources naturelles qui résout les conflits, améliore les moyens de subsistance et restaure les écosystèmes dans l'ensemble de l'aire de répartition des éléphants</w:t>
            </w:r>
          </w:p>
        </w:tc>
      </w:tr>
      <w:tr w:rsidR="00F67191" w:rsidRPr="00135BB1" w14:paraId="3E1C3C5B" w14:textId="77777777" w:rsidTr="00CB72F6">
        <w:trPr>
          <w:jc w:val="center"/>
        </w:trPr>
        <w:tc>
          <w:tcPr>
            <w:tcW w:w="1938" w:type="dxa"/>
            <w:vMerge w:val="restart"/>
            <w:shd w:val="clear" w:color="auto" w:fill="BDD6EE"/>
          </w:tcPr>
          <w:p w14:paraId="5A68EBA7" w14:textId="77777777" w:rsidR="00F67191" w:rsidRPr="00135BB1" w:rsidRDefault="00F67191" w:rsidP="00F67191">
            <w:pPr>
              <w:pStyle w:val="Paragraphedeliste"/>
              <w:spacing w:after="0" w:line="240" w:lineRule="auto"/>
              <w:ind w:left="0"/>
              <w:rPr>
                <w:rFonts w:cs="Times New Roman"/>
                <w:color w:val="000000"/>
                <w:lang w:val="fr-FR"/>
              </w:rPr>
            </w:pPr>
            <w:r w:rsidRPr="00135BB1">
              <w:rPr>
                <w:rFonts w:cs="Times New Roman"/>
                <w:color w:val="000000"/>
                <w:lang w:val="fr-FR"/>
              </w:rPr>
              <w:t xml:space="preserve">1.2 </w:t>
            </w:r>
            <w:r w:rsidR="00B05440" w:rsidRPr="00135BB1">
              <w:rPr>
                <w:rFonts w:cs="Times New Roman"/>
                <w:color w:val="000000"/>
                <w:lang w:val="fr-FR"/>
              </w:rPr>
              <w:t>Informations sur l'organisation</w:t>
            </w:r>
          </w:p>
        </w:tc>
        <w:tc>
          <w:tcPr>
            <w:tcW w:w="2160" w:type="dxa"/>
          </w:tcPr>
          <w:p w14:paraId="06254774" w14:textId="77777777" w:rsidR="00F67191" w:rsidRPr="00135BB1" w:rsidRDefault="00B05440" w:rsidP="00F67191">
            <w:pPr>
              <w:rPr>
                <w:lang w:val="fr-FR"/>
              </w:rPr>
            </w:pPr>
            <w:r w:rsidRPr="00135BB1">
              <w:rPr>
                <w:lang w:val="fr-FR"/>
              </w:rPr>
              <w:t>Organisation / Acronyme</w:t>
            </w:r>
          </w:p>
        </w:tc>
        <w:tc>
          <w:tcPr>
            <w:tcW w:w="6797" w:type="dxa"/>
            <w:gridSpan w:val="2"/>
          </w:tcPr>
          <w:p w14:paraId="5F32E230" w14:textId="77777777" w:rsidR="00F67191" w:rsidRPr="00135BB1" w:rsidRDefault="005058E4" w:rsidP="00F67191">
            <w:pPr>
              <w:pStyle w:val="Paragraphedeliste"/>
              <w:ind w:left="0"/>
              <w:rPr>
                <w:rFonts w:cs="Times New Roman"/>
                <w:lang w:val="fr-FR"/>
              </w:rPr>
            </w:pPr>
            <w:r w:rsidRPr="00135BB1">
              <w:rPr>
                <w:rFonts w:cs="Times New Roman"/>
                <w:lang w:val="fr-FR"/>
              </w:rPr>
              <w:t>WILD Foundation</w:t>
            </w:r>
          </w:p>
        </w:tc>
      </w:tr>
      <w:tr w:rsidR="00F67191" w:rsidRPr="00135BB1" w14:paraId="16316C51" w14:textId="77777777" w:rsidTr="00CB72F6">
        <w:trPr>
          <w:jc w:val="center"/>
        </w:trPr>
        <w:tc>
          <w:tcPr>
            <w:tcW w:w="1938" w:type="dxa"/>
            <w:vMerge/>
            <w:shd w:val="clear" w:color="auto" w:fill="BDD6EE"/>
          </w:tcPr>
          <w:p w14:paraId="5C443EA2" w14:textId="77777777" w:rsidR="00F67191" w:rsidRPr="00135BB1" w:rsidRDefault="00F67191" w:rsidP="00F67191">
            <w:pPr>
              <w:pStyle w:val="Paragraphedeliste"/>
              <w:spacing w:after="0" w:line="240" w:lineRule="auto"/>
              <w:ind w:left="0"/>
              <w:rPr>
                <w:rFonts w:cs="Times New Roman"/>
                <w:color w:val="000000"/>
                <w:lang w:val="fr-FR"/>
              </w:rPr>
            </w:pPr>
          </w:p>
        </w:tc>
        <w:tc>
          <w:tcPr>
            <w:tcW w:w="2160" w:type="dxa"/>
          </w:tcPr>
          <w:p w14:paraId="4123A2F2" w14:textId="77777777" w:rsidR="00F67191" w:rsidRPr="00135BB1" w:rsidRDefault="00B05440" w:rsidP="00F67191">
            <w:pPr>
              <w:rPr>
                <w:lang w:val="fr-FR"/>
              </w:rPr>
            </w:pPr>
            <w:r w:rsidRPr="00135BB1">
              <w:rPr>
                <w:lang w:val="fr-FR"/>
              </w:rPr>
              <w:t>Nom de l’OSC Officiel autorisé</w:t>
            </w:r>
          </w:p>
        </w:tc>
        <w:tc>
          <w:tcPr>
            <w:tcW w:w="6797" w:type="dxa"/>
            <w:gridSpan w:val="2"/>
          </w:tcPr>
          <w:p w14:paraId="0F2EEC71" w14:textId="77777777" w:rsidR="00F67191" w:rsidRPr="00135BB1" w:rsidRDefault="005058E4" w:rsidP="00F67191">
            <w:pPr>
              <w:pStyle w:val="Paragraphedeliste"/>
              <w:ind w:left="0"/>
              <w:rPr>
                <w:rFonts w:cs="Times New Roman"/>
                <w:lang w:val="fr-FR"/>
              </w:rPr>
            </w:pPr>
            <w:r w:rsidRPr="00135BB1">
              <w:rPr>
                <w:rFonts w:cs="Times New Roman"/>
                <w:lang w:val="fr-FR"/>
              </w:rPr>
              <w:t>WILD Foundation Incorporated</w:t>
            </w:r>
          </w:p>
        </w:tc>
      </w:tr>
      <w:tr w:rsidR="00F67191" w:rsidRPr="00135BB1" w14:paraId="1BA5A350" w14:textId="77777777" w:rsidTr="00CB72F6">
        <w:trPr>
          <w:jc w:val="center"/>
        </w:trPr>
        <w:tc>
          <w:tcPr>
            <w:tcW w:w="1938" w:type="dxa"/>
            <w:vMerge/>
            <w:shd w:val="clear" w:color="auto" w:fill="BDD6EE"/>
          </w:tcPr>
          <w:p w14:paraId="01151AEC" w14:textId="77777777" w:rsidR="00F67191" w:rsidRPr="00135BB1" w:rsidRDefault="00F67191" w:rsidP="00F67191">
            <w:pPr>
              <w:pStyle w:val="Paragraphedeliste"/>
              <w:spacing w:after="0" w:line="240" w:lineRule="auto"/>
              <w:ind w:left="0"/>
              <w:rPr>
                <w:rFonts w:cs="Times New Roman"/>
                <w:color w:val="000000"/>
                <w:lang w:val="fr-FR"/>
              </w:rPr>
            </w:pPr>
          </w:p>
        </w:tc>
        <w:tc>
          <w:tcPr>
            <w:tcW w:w="2160" w:type="dxa"/>
            <w:tcBorders>
              <w:bottom w:val="single" w:sz="4" w:space="0" w:color="auto"/>
            </w:tcBorders>
          </w:tcPr>
          <w:p w14:paraId="21B68BC1" w14:textId="77777777" w:rsidR="00F67191" w:rsidRPr="00135BB1" w:rsidRDefault="00B05440" w:rsidP="00F67191">
            <w:pPr>
              <w:rPr>
                <w:lang w:val="fr-FR"/>
              </w:rPr>
            </w:pPr>
            <w:r w:rsidRPr="00135BB1">
              <w:rPr>
                <w:lang w:val="fr-FR"/>
              </w:rPr>
              <w:t>Titre du fonctionnaire autorisé</w:t>
            </w:r>
          </w:p>
        </w:tc>
        <w:tc>
          <w:tcPr>
            <w:tcW w:w="6797" w:type="dxa"/>
            <w:gridSpan w:val="2"/>
            <w:tcBorders>
              <w:bottom w:val="single" w:sz="4" w:space="0" w:color="auto"/>
            </w:tcBorders>
          </w:tcPr>
          <w:p w14:paraId="731C318B" w14:textId="77777777" w:rsidR="00F67191" w:rsidRPr="00135BB1" w:rsidRDefault="00F67191" w:rsidP="00F67191">
            <w:pPr>
              <w:pStyle w:val="Paragraphedeliste"/>
              <w:ind w:left="0"/>
              <w:rPr>
                <w:rFonts w:cs="Times New Roman"/>
                <w:lang w:val="fr-FR"/>
              </w:rPr>
            </w:pPr>
          </w:p>
        </w:tc>
      </w:tr>
      <w:tr w:rsidR="00F67191" w:rsidRPr="00135BB1" w14:paraId="01F0E594" w14:textId="77777777" w:rsidTr="00CB72F6">
        <w:trPr>
          <w:jc w:val="center"/>
        </w:trPr>
        <w:tc>
          <w:tcPr>
            <w:tcW w:w="1938" w:type="dxa"/>
            <w:vMerge/>
            <w:shd w:val="clear" w:color="auto" w:fill="BDD6EE"/>
          </w:tcPr>
          <w:p w14:paraId="3C76EF08" w14:textId="77777777" w:rsidR="00F67191" w:rsidRPr="00135BB1" w:rsidRDefault="00F67191" w:rsidP="00F67191">
            <w:pPr>
              <w:pStyle w:val="Paragraphedeliste"/>
              <w:spacing w:after="0" w:line="240" w:lineRule="auto"/>
              <w:ind w:left="0"/>
              <w:rPr>
                <w:rFonts w:cs="Times New Roman"/>
                <w:color w:val="000000"/>
                <w:lang w:val="fr-FR"/>
              </w:rPr>
            </w:pPr>
          </w:p>
        </w:tc>
        <w:tc>
          <w:tcPr>
            <w:tcW w:w="2160" w:type="dxa"/>
            <w:tcBorders>
              <w:bottom w:val="single" w:sz="4" w:space="0" w:color="auto"/>
            </w:tcBorders>
          </w:tcPr>
          <w:p w14:paraId="39BCDDDF" w14:textId="77777777" w:rsidR="00F67191" w:rsidRPr="00135BB1" w:rsidRDefault="00B05440" w:rsidP="00F67191">
            <w:pPr>
              <w:rPr>
                <w:lang w:val="fr-FR"/>
              </w:rPr>
            </w:pPr>
            <w:r w:rsidRPr="00135BB1">
              <w:rPr>
                <w:lang w:val="fr-FR"/>
              </w:rPr>
              <w:t>Courriel du fonctionnaire autorisé</w:t>
            </w:r>
          </w:p>
        </w:tc>
        <w:tc>
          <w:tcPr>
            <w:tcW w:w="6797" w:type="dxa"/>
            <w:gridSpan w:val="2"/>
            <w:tcBorders>
              <w:bottom w:val="single" w:sz="4" w:space="0" w:color="auto"/>
            </w:tcBorders>
          </w:tcPr>
          <w:p w14:paraId="1D98974B" w14:textId="77777777" w:rsidR="00F67191" w:rsidRPr="00135BB1" w:rsidRDefault="00F67191" w:rsidP="00F67191">
            <w:pPr>
              <w:rPr>
                <w:bCs/>
                <w:color w:val="000000"/>
                <w:lang w:val="fr-FR"/>
              </w:rPr>
            </w:pPr>
          </w:p>
        </w:tc>
      </w:tr>
      <w:tr w:rsidR="00F67191" w:rsidRPr="00135BB1" w14:paraId="35B6C656" w14:textId="77777777" w:rsidTr="00CB72F6">
        <w:trPr>
          <w:jc w:val="center"/>
        </w:trPr>
        <w:tc>
          <w:tcPr>
            <w:tcW w:w="1938" w:type="dxa"/>
            <w:vMerge/>
            <w:shd w:val="clear" w:color="auto" w:fill="BDD6EE"/>
          </w:tcPr>
          <w:p w14:paraId="11A3FD44" w14:textId="77777777" w:rsidR="00F67191" w:rsidRPr="00135BB1" w:rsidRDefault="00F67191" w:rsidP="00F67191">
            <w:pPr>
              <w:pStyle w:val="Paragraphedeliste"/>
              <w:spacing w:after="0" w:line="240" w:lineRule="auto"/>
              <w:ind w:left="0"/>
              <w:rPr>
                <w:rFonts w:cs="Times New Roman"/>
                <w:color w:val="000000"/>
                <w:lang w:val="fr-FR"/>
              </w:rPr>
            </w:pPr>
          </w:p>
        </w:tc>
        <w:tc>
          <w:tcPr>
            <w:tcW w:w="2160" w:type="dxa"/>
            <w:tcBorders>
              <w:top w:val="single" w:sz="4" w:space="0" w:color="auto"/>
              <w:bottom w:val="single" w:sz="4" w:space="0" w:color="auto"/>
              <w:right w:val="single" w:sz="4" w:space="0" w:color="auto"/>
            </w:tcBorders>
          </w:tcPr>
          <w:p w14:paraId="5B37CA68" w14:textId="77777777" w:rsidR="00F67191" w:rsidRPr="00135BB1" w:rsidRDefault="00B05440" w:rsidP="00F67191">
            <w:pPr>
              <w:rPr>
                <w:lang w:val="fr-FR"/>
              </w:rPr>
            </w:pPr>
            <w:r w:rsidRPr="00135BB1">
              <w:rPr>
                <w:lang w:val="fr-FR"/>
              </w:rPr>
              <w:t>Téléphone du fonctionnaire autorisé</w:t>
            </w:r>
          </w:p>
        </w:tc>
        <w:tc>
          <w:tcPr>
            <w:tcW w:w="6797" w:type="dxa"/>
            <w:gridSpan w:val="2"/>
            <w:tcBorders>
              <w:top w:val="single" w:sz="4" w:space="0" w:color="auto"/>
              <w:left w:val="single" w:sz="4" w:space="0" w:color="auto"/>
              <w:bottom w:val="single" w:sz="4" w:space="0" w:color="auto"/>
              <w:right w:val="single" w:sz="4" w:space="0" w:color="auto"/>
            </w:tcBorders>
          </w:tcPr>
          <w:p w14:paraId="065CEB2D" w14:textId="77777777" w:rsidR="00F67191" w:rsidRPr="00135BB1" w:rsidRDefault="00F67191" w:rsidP="00F67191">
            <w:pPr>
              <w:rPr>
                <w:bCs/>
                <w:color w:val="000000"/>
                <w:lang w:val="fr-FR"/>
              </w:rPr>
            </w:pPr>
          </w:p>
        </w:tc>
      </w:tr>
      <w:tr w:rsidR="00F67191" w:rsidRPr="00246AF9" w14:paraId="3483E84D" w14:textId="77777777" w:rsidTr="00CB72F6">
        <w:trPr>
          <w:jc w:val="center"/>
        </w:trPr>
        <w:tc>
          <w:tcPr>
            <w:tcW w:w="1938" w:type="dxa"/>
            <w:vMerge/>
            <w:shd w:val="clear" w:color="auto" w:fill="BDD6EE"/>
          </w:tcPr>
          <w:p w14:paraId="3FE3926E" w14:textId="77777777" w:rsidR="00F67191" w:rsidRPr="00135BB1" w:rsidRDefault="00F67191" w:rsidP="00F67191">
            <w:pPr>
              <w:pStyle w:val="Paragraphedeliste"/>
              <w:spacing w:after="0" w:line="240" w:lineRule="auto"/>
              <w:ind w:left="0"/>
              <w:rPr>
                <w:rFonts w:cs="Times New Roman"/>
                <w:color w:val="000000"/>
                <w:lang w:val="fr-FR"/>
              </w:rPr>
            </w:pPr>
          </w:p>
        </w:tc>
        <w:tc>
          <w:tcPr>
            <w:tcW w:w="2160" w:type="dxa"/>
            <w:tcBorders>
              <w:top w:val="single" w:sz="4" w:space="0" w:color="auto"/>
              <w:bottom w:val="single" w:sz="4" w:space="0" w:color="auto"/>
              <w:right w:val="single" w:sz="4" w:space="0" w:color="auto"/>
            </w:tcBorders>
          </w:tcPr>
          <w:p w14:paraId="187560DA" w14:textId="77777777" w:rsidR="00F67191" w:rsidRPr="00135BB1" w:rsidRDefault="00B05440" w:rsidP="00F67191">
            <w:pPr>
              <w:rPr>
                <w:lang w:val="fr-FR"/>
              </w:rPr>
            </w:pPr>
            <w:r w:rsidRPr="00135BB1">
              <w:rPr>
                <w:lang w:val="fr-FR"/>
              </w:rPr>
              <w:t>Nom du point focal du projet</w:t>
            </w:r>
          </w:p>
        </w:tc>
        <w:tc>
          <w:tcPr>
            <w:tcW w:w="6797" w:type="dxa"/>
            <w:gridSpan w:val="2"/>
            <w:tcBorders>
              <w:top w:val="single" w:sz="4" w:space="0" w:color="auto"/>
              <w:left w:val="single" w:sz="4" w:space="0" w:color="auto"/>
              <w:bottom w:val="single" w:sz="4" w:space="0" w:color="auto"/>
              <w:right w:val="single" w:sz="4" w:space="0" w:color="auto"/>
            </w:tcBorders>
          </w:tcPr>
          <w:p w14:paraId="6A114B55" w14:textId="0021868F" w:rsidR="00F67191" w:rsidRPr="00135BB1" w:rsidRDefault="00070C03" w:rsidP="00F67191">
            <w:pPr>
              <w:rPr>
                <w:bCs/>
                <w:color w:val="000000"/>
                <w:lang w:val="fr-FR"/>
              </w:rPr>
            </w:pPr>
            <w:r>
              <w:rPr>
                <w:bCs/>
                <w:color w:val="000000"/>
                <w:lang w:val="fr-FR"/>
              </w:rPr>
              <w:t>Dr Susan Canney</w:t>
            </w:r>
          </w:p>
        </w:tc>
      </w:tr>
      <w:tr w:rsidR="00F67191" w:rsidRPr="00B12AE6" w14:paraId="49C3756D" w14:textId="77777777" w:rsidTr="00CB72F6">
        <w:trPr>
          <w:jc w:val="center"/>
        </w:trPr>
        <w:tc>
          <w:tcPr>
            <w:tcW w:w="1938" w:type="dxa"/>
            <w:vMerge/>
            <w:shd w:val="clear" w:color="auto" w:fill="BDD6EE"/>
          </w:tcPr>
          <w:p w14:paraId="4373A571" w14:textId="77777777" w:rsidR="00F67191" w:rsidRPr="00135BB1" w:rsidRDefault="00F67191" w:rsidP="00F67191">
            <w:pPr>
              <w:pStyle w:val="Paragraphedeliste"/>
              <w:spacing w:after="0" w:line="240" w:lineRule="auto"/>
              <w:ind w:left="0"/>
              <w:rPr>
                <w:rFonts w:cs="Times New Roman"/>
                <w:color w:val="000000"/>
                <w:lang w:val="fr-FR"/>
              </w:rPr>
            </w:pPr>
          </w:p>
        </w:tc>
        <w:tc>
          <w:tcPr>
            <w:tcW w:w="2160" w:type="dxa"/>
            <w:tcBorders>
              <w:top w:val="single" w:sz="4" w:space="0" w:color="auto"/>
              <w:bottom w:val="single" w:sz="4" w:space="0" w:color="auto"/>
              <w:right w:val="single" w:sz="4" w:space="0" w:color="auto"/>
            </w:tcBorders>
          </w:tcPr>
          <w:p w14:paraId="469EC73A" w14:textId="77777777" w:rsidR="00F67191" w:rsidRPr="00135BB1" w:rsidRDefault="00B05440" w:rsidP="00F67191">
            <w:pPr>
              <w:rPr>
                <w:lang w:val="fr-FR"/>
              </w:rPr>
            </w:pPr>
            <w:r w:rsidRPr="00135BB1">
              <w:rPr>
                <w:lang w:val="fr-FR"/>
              </w:rPr>
              <w:t>Titre</w:t>
            </w:r>
          </w:p>
        </w:tc>
        <w:tc>
          <w:tcPr>
            <w:tcW w:w="6797" w:type="dxa"/>
            <w:gridSpan w:val="2"/>
            <w:tcBorders>
              <w:top w:val="single" w:sz="4" w:space="0" w:color="auto"/>
              <w:left w:val="single" w:sz="4" w:space="0" w:color="auto"/>
              <w:bottom w:val="single" w:sz="4" w:space="0" w:color="auto"/>
              <w:right w:val="single" w:sz="4" w:space="0" w:color="auto"/>
            </w:tcBorders>
          </w:tcPr>
          <w:p w14:paraId="544DDA7B" w14:textId="5C78BB6C" w:rsidR="00F67191" w:rsidRPr="00135BB1" w:rsidRDefault="00070C03" w:rsidP="00F67191">
            <w:pPr>
              <w:rPr>
                <w:bCs/>
                <w:color w:val="000000"/>
                <w:lang w:val="fr-FR"/>
              </w:rPr>
            </w:pPr>
            <w:r>
              <w:rPr>
                <w:bCs/>
                <w:color w:val="000000"/>
                <w:lang w:val="fr-FR"/>
              </w:rPr>
              <w:t>Directrice, Projet des Éléphants du Mali, Wild Foundation</w:t>
            </w:r>
          </w:p>
        </w:tc>
      </w:tr>
      <w:tr w:rsidR="00F67191" w:rsidRPr="00B12AE6" w14:paraId="603E0B01" w14:textId="77777777" w:rsidTr="00CB72F6">
        <w:trPr>
          <w:jc w:val="center"/>
        </w:trPr>
        <w:tc>
          <w:tcPr>
            <w:tcW w:w="1938" w:type="dxa"/>
            <w:vMerge/>
            <w:tcBorders>
              <w:bottom w:val="single" w:sz="4" w:space="0" w:color="auto"/>
            </w:tcBorders>
            <w:shd w:val="clear" w:color="auto" w:fill="BDD6EE"/>
          </w:tcPr>
          <w:p w14:paraId="6A7CC125" w14:textId="77777777" w:rsidR="00F67191" w:rsidRPr="00135BB1" w:rsidRDefault="00F67191" w:rsidP="00F67191">
            <w:pPr>
              <w:pStyle w:val="Paragraphedeliste"/>
              <w:spacing w:after="0" w:line="240" w:lineRule="auto"/>
              <w:ind w:left="0"/>
              <w:rPr>
                <w:rFonts w:cs="Times New Roman"/>
                <w:color w:val="000000"/>
                <w:lang w:val="fr-FR"/>
              </w:rPr>
            </w:pPr>
          </w:p>
        </w:tc>
        <w:tc>
          <w:tcPr>
            <w:tcW w:w="2160" w:type="dxa"/>
            <w:tcBorders>
              <w:top w:val="single" w:sz="4" w:space="0" w:color="auto"/>
              <w:bottom w:val="single" w:sz="4" w:space="0" w:color="auto"/>
              <w:right w:val="single" w:sz="4" w:space="0" w:color="auto"/>
            </w:tcBorders>
          </w:tcPr>
          <w:p w14:paraId="4F0A8D85" w14:textId="77777777" w:rsidR="00F67191" w:rsidRPr="00135BB1" w:rsidRDefault="00B05440" w:rsidP="00F67191">
            <w:pPr>
              <w:rPr>
                <w:lang w:val="fr-FR"/>
              </w:rPr>
            </w:pPr>
            <w:r w:rsidRPr="00135BB1">
              <w:rPr>
                <w:lang w:val="fr-FR"/>
              </w:rPr>
              <w:t>Courriel</w:t>
            </w:r>
          </w:p>
        </w:tc>
        <w:tc>
          <w:tcPr>
            <w:tcW w:w="6797" w:type="dxa"/>
            <w:gridSpan w:val="2"/>
            <w:tcBorders>
              <w:top w:val="single" w:sz="4" w:space="0" w:color="auto"/>
              <w:left w:val="single" w:sz="4" w:space="0" w:color="auto"/>
              <w:bottom w:val="single" w:sz="4" w:space="0" w:color="auto"/>
              <w:right w:val="single" w:sz="4" w:space="0" w:color="auto"/>
            </w:tcBorders>
          </w:tcPr>
          <w:p w14:paraId="62E4026D" w14:textId="75948799" w:rsidR="00F67191" w:rsidRPr="00070C03" w:rsidRDefault="00070C03" w:rsidP="00F67191">
            <w:pPr>
              <w:rPr>
                <w:bCs/>
                <w:color w:val="000000"/>
                <w:lang w:val="fr-FR"/>
              </w:rPr>
            </w:pPr>
            <w:r>
              <w:rPr>
                <w:bCs/>
                <w:color w:val="000000"/>
                <w:lang w:val="fr-FR"/>
              </w:rPr>
              <w:t>susan.canney</w:t>
            </w:r>
            <w:r w:rsidRPr="00070C03">
              <w:rPr>
                <w:bCs/>
                <w:color w:val="000000"/>
                <w:lang w:val="fr-FR"/>
              </w:rPr>
              <w:t>@zoo.ox.ac.uk</w:t>
            </w:r>
          </w:p>
        </w:tc>
      </w:tr>
      <w:tr w:rsidR="00B05440" w:rsidRPr="00135BB1" w14:paraId="1B44D873" w14:textId="77777777" w:rsidTr="00C61E94">
        <w:trPr>
          <w:trHeight w:val="593"/>
          <w:jc w:val="center"/>
        </w:trPr>
        <w:tc>
          <w:tcPr>
            <w:tcW w:w="1938" w:type="dxa"/>
            <w:vMerge w:val="restart"/>
            <w:tcBorders>
              <w:top w:val="single" w:sz="4" w:space="0" w:color="auto"/>
              <w:left w:val="single" w:sz="4" w:space="0" w:color="auto"/>
              <w:right w:val="single" w:sz="4" w:space="0" w:color="auto"/>
            </w:tcBorders>
            <w:shd w:val="clear" w:color="auto" w:fill="BDD6EE"/>
          </w:tcPr>
          <w:p w14:paraId="4739056C" w14:textId="77777777" w:rsidR="00B05440" w:rsidRPr="00135BB1" w:rsidRDefault="00B05440" w:rsidP="004E321A">
            <w:pPr>
              <w:spacing w:line="240" w:lineRule="auto"/>
              <w:rPr>
                <w:lang w:val="fr-FR"/>
              </w:rPr>
            </w:pPr>
            <w:r w:rsidRPr="00135BB1">
              <w:rPr>
                <w:lang w:val="fr-FR"/>
              </w:rPr>
              <w:t>1.3 Renseignements sur le projet</w:t>
            </w:r>
          </w:p>
        </w:tc>
        <w:tc>
          <w:tcPr>
            <w:tcW w:w="2160" w:type="dxa"/>
            <w:tcBorders>
              <w:top w:val="single" w:sz="4" w:space="0" w:color="auto"/>
              <w:left w:val="single" w:sz="4" w:space="0" w:color="auto"/>
              <w:bottom w:val="single" w:sz="4" w:space="0" w:color="auto"/>
              <w:right w:val="single" w:sz="4" w:space="0" w:color="auto"/>
            </w:tcBorders>
          </w:tcPr>
          <w:p w14:paraId="7191D4D3" w14:textId="77777777" w:rsidR="00B05440" w:rsidRPr="00135BB1" w:rsidRDefault="00B05440" w:rsidP="00F67191">
            <w:pPr>
              <w:rPr>
                <w:lang w:val="fr-FR"/>
              </w:rPr>
            </w:pPr>
            <w:r w:rsidRPr="00135BB1">
              <w:rPr>
                <w:lang w:val="fr-FR"/>
              </w:rPr>
              <w:t>Durée du projet</w:t>
            </w:r>
          </w:p>
        </w:tc>
        <w:tc>
          <w:tcPr>
            <w:tcW w:w="6797" w:type="dxa"/>
            <w:gridSpan w:val="2"/>
            <w:tcBorders>
              <w:top w:val="single" w:sz="4" w:space="0" w:color="auto"/>
              <w:left w:val="single" w:sz="4" w:space="0" w:color="auto"/>
              <w:bottom w:val="single" w:sz="4" w:space="0" w:color="auto"/>
              <w:right w:val="single" w:sz="4" w:space="0" w:color="auto"/>
            </w:tcBorders>
          </w:tcPr>
          <w:p w14:paraId="029EA5A2" w14:textId="77777777" w:rsidR="00B05440" w:rsidRPr="00135BB1" w:rsidRDefault="005058E4" w:rsidP="00F67191">
            <w:pPr>
              <w:rPr>
                <w:lang w:val="fr-FR"/>
              </w:rPr>
            </w:pPr>
            <w:r w:rsidRPr="00135BB1">
              <w:rPr>
                <w:lang w:val="fr-FR"/>
              </w:rPr>
              <w:t>01/05/2021 – 30/09/2024 (41 mo</w:t>
            </w:r>
            <w:r w:rsidR="00135BB1">
              <w:rPr>
                <w:lang w:val="fr-FR"/>
              </w:rPr>
              <w:t>is</w:t>
            </w:r>
            <w:r w:rsidRPr="00135BB1">
              <w:rPr>
                <w:lang w:val="fr-FR"/>
              </w:rPr>
              <w:t>)</w:t>
            </w:r>
          </w:p>
        </w:tc>
      </w:tr>
      <w:tr w:rsidR="00B05440" w:rsidRPr="00135BB1" w14:paraId="4AE435B9" w14:textId="77777777" w:rsidTr="00C61E94">
        <w:trPr>
          <w:jc w:val="center"/>
        </w:trPr>
        <w:tc>
          <w:tcPr>
            <w:tcW w:w="1938" w:type="dxa"/>
            <w:vMerge/>
            <w:tcBorders>
              <w:left w:val="single" w:sz="4" w:space="0" w:color="auto"/>
              <w:right w:val="single" w:sz="4" w:space="0" w:color="auto"/>
            </w:tcBorders>
            <w:shd w:val="clear" w:color="auto" w:fill="BDD6EE"/>
          </w:tcPr>
          <w:p w14:paraId="3B3067C8" w14:textId="77777777" w:rsidR="00B05440" w:rsidRPr="00135BB1" w:rsidRDefault="00B05440" w:rsidP="00F67191">
            <w:pPr>
              <w:rPr>
                <w:lang w:val="fr-FR"/>
              </w:rPr>
            </w:pPr>
          </w:p>
        </w:tc>
        <w:tc>
          <w:tcPr>
            <w:tcW w:w="2160" w:type="dxa"/>
            <w:tcBorders>
              <w:top w:val="single" w:sz="4" w:space="0" w:color="auto"/>
              <w:left w:val="single" w:sz="4" w:space="0" w:color="auto"/>
              <w:bottom w:val="single" w:sz="4" w:space="0" w:color="auto"/>
              <w:right w:val="single" w:sz="4" w:space="0" w:color="auto"/>
            </w:tcBorders>
          </w:tcPr>
          <w:p w14:paraId="4B0A3062" w14:textId="77777777" w:rsidR="00B05440" w:rsidRPr="00135BB1" w:rsidRDefault="00B05440" w:rsidP="00F67191">
            <w:pPr>
              <w:rPr>
                <w:lang w:val="fr-FR"/>
              </w:rPr>
            </w:pPr>
            <w:r w:rsidRPr="00135BB1">
              <w:rPr>
                <w:lang w:val="fr-FR"/>
              </w:rPr>
              <w:t>Date de début</w:t>
            </w:r>
          </w:p>
        </w:tc>
        <w:tc>
          <w:tcPr>
            <w:tcW w:w="6797" w:type="dxa"/>
            <w:gridSpan w:val="2"/>
            <w:tcBorders>
              <w:top w:val="single" w:sz="4" w:space="0" w:color="auto"/>
              <w:left w:val="single" w:sz="4" w:space="0" w:color="auto"/>
              <w:bottom w:val="single" w:sz="4" w:space="0" w:color="auto"/>
              <w:right w:val="single" w:sz="4" w:space="0" w:color="auto"/>
            </w:tcBorders>
          </w:tcPr>
          <w:p w14:paraId="60EEF970" w14:textId="2109F121" w:rsidR="00B05440" w:rsidRPr="00135BB1" w:rsidRDefault="005058E4" w:rsidP="00F67191">
            <w:pPr>
              <w:rPr>
                <w:lang w:val="fr-FR"/>
              </w:rPr>
            </w:pPr>
            <w:r w:rsidRPr="00135BB1">
              <w:rPr>
                <w:lang w:val="fr-FR"/>
              </w:rPr>
              <w:t>01/05</w:t>
            </w:r>
            <w:r w:rsidR="00B05440" w:rsidRPr="00135BB1">
              <w:rPr>
                <w:lang w:val="fr-FR"/>
              </w:rPr>
              <w:t>/</w:t>
            </w:r>
            <w:r w:rsidRPr="00135BB1">
              <w:rPr>
                <w:lang w:val="fr-FR"/>
              </w:rPr>
              <w:t>2021</w:t>
            </w:r>
          </w:p>
        </w:tc>
      </w:tr>
      <w:tr w:rsidR="00B05440" w:rsidRPr="00135BB1" w14:paraId="5595DE9E" w14:textId="77777777" w:rsidTr="00C61E94">
        <w:trPr>
          <w:jc w:val="center"/>
        </w:trPr>
        <w:tc>
          <w:tcPr>
            <w:tcW w:w="1938" w:type="dxa"/>
            <w:vMerge/>
            <w:tcBorders>
              <w:left w:val="single" w:sz="4" w:space="0" w:color="auto"/>
              <w:bottom w:val="single" w:sz="4" w:space="0" w:color="auto"/>
              <w:right w:val="single" w:sz="4" w:space="0" w:color="auto"/>
            </w:tcBorders>
            <w:shd w:val="clear" w:color="auto" w:fill="BDD6EE"/>
          </w:tcPr>
          <w:p w14:paraId="2FEDD399" w14:textId="77777777" w:rsidR="00B05440" w:rsidRPr="00135BB1" w:rsidRDefault="00B05440" w:rsidP="00B05440">
            <w:pPr>
              <w:rPr>
                <w:lang w:val="fr-FR"/>
              </w:rPr>
            </w:pPr>
          </w:p>
        </w:tc>
        <w:tc>
          <w:tcPr>
            <w:tcW w:w="2160" w:type="dxa"/>
            <w:tcBorders>
              <w:top w:val="single" w:sz="4" w:space="0" w:color="auto"/>
              <w:left w:val="single" w:sz="4" w:space="0" w:color="auto"/>
              <w:bottom w:val="single" w:sz="4" w:space="0" w:color="auto"/>
              <w:right w:val="single" w:sz="4" w:space="0" w:color="auto"/>
            </w:tcBorders>
          </w:tcPr>
          <w:p w14:paraId="51DB62CE" w14:textId="77777777" w:rsidR="00B05440" w:rsidRPr="00135BB1" w:rsidRDefault="00B05440" w:rsidP="00B05440">
            <w:pPr>
              <w:rPr>
                <w:lang w:val="fr-FR"/>
              </w:rPr>
            </w:pPr>
            <w:r w:rsidRPr="00135BB1">
              <w:rPr>
                <w:lang w:val="fr-FR"/>
              </w:rPr>
              <w:t>Période de rapport</w:t>
            </w:r>
          </w:p>
        </w:tc>
        <w:tc>
          <w:tcPr>
            <w:tcW w:w="6797" w:type="dxa"/>
            <w:gridSpan w:val="2"/>
            <w:tcBorders>
              <w:top w:val="single" w:sz="4" w:space="0" w:color="auto"/>
              <w:left w:val="single" w:sz="4" w:space="0" w:color="auto"/>
              <w:bottom w:val="single" w:sz="4" w:space="0" w:color="auto"/>
              <w:right w:val="single" w:sz="4" w:space="0" w:color="auto"/>
            </w:tcBorders>
          </w:tcPr>
          <w:p w14:paraId="686A6AF3" w14:textId="3D2147CF" w:rsidR="00B05440" w:rsidRPr="00135BB1" w:rsidRDefault="0080470A" w:rsidP="00B05440">
            <w:pPr>
              <w:rPr>
                <w:i/>
                <w:lang w:val="fr-FR"/>
              </w:rPr>
            </w:pPr>
            <w:r>
              <w:rPr>
                <w:lang w:val="fr-FR"/>
              </w:rPr>
              <w:t>01/</w:t>
            </w:r>
            <w:r w:rsidR="00EC25B9">
              <w:rPr>
                <w:lang w:val="fr-FR"/>
              </w:rPr>
              <w:t>01</w:t>
            </w:r>
            <w:r w:rsidR="00662240">
              <w:rPr>
                <w:lang w:val="fr-FR"/>
              </w:rPr>
              <w:t>/2022</w:t>
            </w:r>
            <w:r>
              <w:rPr>
                <w:lang w:val="fr-FR"/>
              </w:rPr>
              <w:t>-3</w:t>
            </w:r>
            <w:r w:rsidR="00EC25B9">
              <w:rPr>
                <w:lang w:val="fr-FR"/>
              </w:rPr>
              <w:t>1</w:t>
            </w:r>
            <w:r>
              <w:rPr>
                <w:lang w:val="fr-FR"/>
              </w:rPr>
              <w:t>/</w:t>
            </w:r>
            <w:r w:rsidR="00166AE1">
              <w:rPr>
                <w:lang w:val="fr-FR"/>
              </w:rPr>
              <w:t>12</w:t>
            </w:r>
            <w:r>
              <w:rPr>
                <w:lang w:val="fr-FR"/>
              </w:rPr>
              <w:t>/202</w:t>
            </w:r>
            <w:r w:rsidR="00662240">
              <w:rPr>
                <w:lang w:val="fr-FR"/>
              </w:rPr>
              <w:t>2</w:t>
            </w:r>
          </w:p>
        </w:tc>
      </w:tr>
      <w:tr w:rsidR="00E6784C" w:rsidRPr="00135BB1" w14:paraId="5C8438DA" w14:textId="77777777" w:rsidTr="00E6784C">
        <w:trPr>
          <w:trHeight w:val="339"/>
          <w:jc w:val="center"/>
        </w:trPr>
        <w:tc>
          <w:tcPr>
            <w:tcW w:w="1938" w:type="dxa"/>
            <w:vMerge w:val="restart"/>
            <w:tcBorders>
              <w:top w:val="single" w:sz="4" w:space="0" w:color="auto"/>
              <w:left w:val="single" w:sz="4" w:space="0" w:color="auto"/>
              <w:right w:val="single" w:sz="4" w:space="0" w:color="auto"/>
            </w:tcBorders>
            <w:shd w:val="clear" w:color="auto" w:fill="BDD6EE"/>
          </w:tcPr>
          <w:p w14:paraId="718A3447" w14:textId="77777777" w:rsidR="00E6784C" w:rsidRPr="00135BB1" w:rsidRDefault="00E6784C" w:rsidP="00F67191">
            <w:pPr>
              <w:rPr>
                <w:lang w:val="fr-FR"/>
              </w:rPr>
            </w:pPr>
            <w:r w:rsidRPr="00135BB1">
              <w:rPr>
                <w:lang w:val="fr-FR"/>
              </w:rPr>
              <w:t>1.4 Informations budgétaires</w:t>
            </w:r>
          </w:p>
        </w:tc>
        <w:tc>
          <w:tcPr>
            <w:tcW w:w="2160" w:type="dxa"/>
            <w:tcBorders>
              <w:top w:val="single" w:sz="4" w:space="0" w:color="auto"/>
              <w:left w:val="single" w:sz="4" w:space="0" w:color="auto"/>
              <w:right w:val="single" w:sz="4" w:space="0" w:color="auto"/>
            </w:tcBorders>
          </w:tcPr>
          <w:p w14:paraId="5E0482AD" w14:textId="77777777" w:rsidR="00E6784C" w:rsidRPr="00135BB1" w:rsidRDefault="00E6784C" w:rsidP="00F67191">
            <w:pPr>
              <w:rPr>
                <w:lang w:val="fr-FR"/>
              </w:rPr>
            </w:pPr>
            <w:r w:rsidRPr="00135BB1">
              <w:rPr>
                <w:lang w:val="fr-FR"/>
              </w:rPr>
              <w:t>Budget du projet</w:t>
            </w:r>
          </w:p>
        </w:tc>
        <w:tc>
          <w:tcPr>
            <w:tcW w:w="6797" w:type="dxa"/>
            <w:gridSpan w:val="2"/>
            <w:tcBorders>
              <w:top w:val="single" w:sz="4" w:space="0" w:color="auto"/>
              <w:left w:val="single" w:sz="4" w:space="0" w:color="auto"/>
              <w:right w:val="single" w:sz="4" w:space="0" w:color="auto"/>
            </w:tcBorders>
          </w:tcPr>
          <w:p w14:paraId="6E15FC7D" w14:textId="7E735225" w:rsidR="00E6784C" w:rsidRPr="00135BB1" w:rsidRDefault="005058E4" w:rsidP="00F67191">
            <w:pPr>
              <w:rPr>
                <w:lang w:val="fr-FR"/>
              </w:rPr>
            </w:pPr>
            <w:r w:rsidRPr="00135BB1">
              <w:rPr>
                <w:lang w:val="fr-FR"/>
              </w:rPr>
              <w:t>USD 1</w:t>
            </w:r>
            <w:r w:rsidR="00345E1B">
              <w:rPr>
                <w:lang w:val="fr-FR"/>
              </w:rPr>
              <w:t xml:space="preserve"> </w:t>
            </w:r>
            <w:r w:rsidRPr="00135BB1">
              <w:rPr>
                <w:lang w:val="fr-FR"/>
              </w:rPr>
              <w:t>620</w:t>
            </w:r>
            <w:r w:rsidR="00345E1B">
              <w:rPr>
                <w:lang w:val="fr-FR"/>
              </w:rPr>
              <w:t xml:space="preserve"> </w:t>
            </w:r>
            <w:r w:rsidRPr="00135BB1">
              <w:rPr>
                <w:lang w:val="fr-FR"/>
              </w:rPr>
              <w:t>733</w:t>
            </w:r>
            <w:r w:rsidR="00C9265D">
              <w:rPr>
                <w:lang w:val="fr-FR"/>
              </w:rPr>
              <w:t>,00</w:t>
            </w:r>
          </w:p>
        </w:tc>
      </w:tr>
      <w:tr w:rsidR="000F7719" w:rsidRPr="001D3E07" w14:paraId="08AFBF86" w14:textId="77777777" w:rsidTr="00A1371B">
        <w:trPr>
          <w:trHeight w:val="1028"/>
          <w:jc w:val="center"/>
        </w:trPr>
        <w:tc>
          <w:tcPr>
            <w:tcW w:w="1938" w:type="dxa"/>
            <w:vMerge/>
            <w:tcBorders>
              <w:left w:val="single" w:sz="4" w:space="0" w:color="auto"/>
              <w:bottom w:val="single" w:sz="4" w:space="0" w:color="auto"/>
              <w:right w:val="single" w:sz="4" w:space="0" w:color="auto"/>
            </w:tcBorders>
            <w:shd w:val="clear" w:color="auto" w:fill="BDD6EE"/>
          </w:tcPr>
          <w:p w14:paraId="5785DD55" w14:textId="77777777" w:rsidR="000F7719" w:rsidRPr="00135BB1" w:rsidRDefault="000F7719" w:rsidP="00F67191">
            <w:pPr>
              <w:rPr>
                <w:lang w:val="fr-FR"/>
              </w:rPr>
            </w:pPr>
          </w:p>
        </w:tc>
        <w:tc>
          <w:tcPr>
            <w:tcW w:w="2160" w:type="dxa"/>
            <w:tcBorders>
              <w:top w:val="single" w:sz="4" w:space="0" w:color="auto"/>
              <w:left w:val="single" w:sz="4" w:space="0" w:color="auto"/>
              <w:right w:val="single" w:sz="4" w:space="0" w:color="auto"/>
            </w:tcBorders>
          </w:tcPr>
          <w:p w14:paraId="4588F36D" w14:textId="77777777" w:rsidR="000F7719" w:rsidRPr="00135BB1" w:rsidRDefault="000F7719" w:rsidP="00F67191">
            <w:pPr>
              <w:rPr>
                <w:lang w:val="fr-FR"/>
              </w:rPr>
            </w:pPr>
            <w:r w:rsidRPr="00135BB1">
              <w:rPr>
                <w:lang w:val="fr-FR"/>
              </w:rPr>
              <w:t>Contribution du PNUD pour le trimestre</w:t>
            </w:r>
          </w:p>
        </w:tc>
        <w:tc>
          <w:tcPr>
            <w:tcW w:w="3623" w:type="dxa"/>
            <w:tcBorders>
              <w:top w:val="single" w:sz="4" w:space="0" w:color="auto"/>
              <w:left w:val="single" w:sz="4" w:space="0" w:color="auto"/>
              <w:right w:val="single" w:sz="4" w:space="0" w:color="auto"/>
            </w:tcBorders>
          </w:tcPr>
          <w:p w14:paraId="31EF6581" w14:textId="6D9AC995" w:rsidR="000F7719" w:rsidRPr="00166AE1" w:rsidRDefault="00C9265D" w:rsidP="00F67191">
            <w:pPr>
              <w:rPr>
                <w:highlight w:val="yellow"/>
                <w:lang w:val="fr-FR"/>
              </w:rPr>
            </w:pPr>
            <w:r w:rsidRPr="00166AE1">
              <w:rPr>
                <w:highlight w:val="yellow"/>
                <w:lang w:val="fr-FR"/>
              </w:rPr>
              <w:t>USD</w:t>
            </w:r>
          </w:p>
        </w:tc>
        <w:tc>
          <w:tcPr>
            <w:tcW w:w="3174" w:type="dxa"/>
            <w:tcBorders>
              <w:top w:val="single" w:sz="4" w:space="0" w:color="auto"/>
              <w:left w:val="single" w:sz="4" w:space="0" w:color="auto"/>
              <w:right w:val="single" w:sz="4" w:space="0" w:color="auto"/>
            </w:tcBorders>
          </w:tcPr>
          <w:p w14:paraId="4815D596" w14:textId="792AAF04" w:rsidR="000F7719" w:rsidRPr="00135BB1" w:rsidRDefault="000F7719" w:rsidP="00F67191">
            <w:pPr>
              <w:rPr>
                <w:lang w:val="fr-FR"/>
              </w:rPr>
            </w:pPr>
          </w:p>
        </w:tc>
      </w:tr>
      <w:tr w:rsidR="00B05440" w:rsidRPr="001D3E07" w14:paraId="3C4ACC0C" w14:textId="77777777" w:rsidTr="00C61E94">
        <w:trPr>
          <w:jc w:val="center"/>
        </w:trPr>
        <w:tc>
          <w:tcPr>
            <w:tcW w:w="1938" w:type="dxa"/>
            <w:vMerge/>
            <w:tcBorders>
              <w:left w:val="single" w:sz="4" w:space="0" w:color="auto"/>
              <w:bottom w:val="single" w:sz="4" w:space="0" w:color="auto"/>
              <w:right w:val="single" w:sz="4" w:space="0" w:color="auto"/>
            </w:tcBorders>
            <w:shd w:val="clear" w:color="auto" w:fill="BDD6EE"/>
          </w:tcPr>
          <w:p w14:paraId="59533DF6" w14:textId="77777777" w:rsidR="00B05440" w:rsidRPr="00135BB1" w:rsidRDefault="00B05440" w:rsidP="00F67191">
            <w:pPr>
              <w:rPr>
                <w:lang w:val="fr-FR"/>
              </w:rPr>
            </w:pPr>
          </w:p>
        </w:tc>
        <w:tc>
          <w:tcPr>
            <w:tcW w:w="2160" w:type="dxa"/>
            <w:tcBorders>
              <w:top w:val="single" w:sz="4" w:space="0" w:color="auto"/>
              <w:left w:val="single" w:sz="4" w:space="0" w:color="auto"/>
              <w:bottom w:val="single" w:sz="4" w:space="0" w:color="auto"/>
              <w:right w:val="single" w:sz="4" w:space="0" w:color="auto"/>
            </w:tcBorders>
          </w:tcPr>
          <w:p w14:paraId="697CEEBD" w14:textId="77777777" w:rsidR="00B05440" w:rsidRPr="00135BB1" w:rsidRDefault="00B05440" w:rsidP="00F67191">
            <w:pPr>
              <w:rPr>
                <w:lang w:val="fr-FR"/>
              </w:rPr>
            </w:pPr>
            <w:r w:rsidRPr="00135BB1">
              <w:rPr>
                <w:lang w:val="fr-FR"/>
              </w:rPr>
              <w:t>Fonds reçus à ce jour</w:t>
            </w:r>
          </w:p>
        </w:tc>
        <w:tc>
          <w:tcPr>
            <w:tcW w:w="3623" w:type="dxa"/>
            <w:tcBorders>
              <w:top w:val="single" w:sz="4" w:space="0" w:color="auto"/>
              <w:left w:val="single" w:sz="4" w:space="0" w:color="auto"/>
              <w:bottom w:val="single" w:sz="4" w:space="0" w:color="auto"/>
              <w:right w:val="single" w:sz="4" w:space="0" w:color="auto"/>
            </w:tcBorders>
          </w:tcPr>
          <w:p w14:paraId="78DFC9D5" w14:textId="71AAEAB4" w:rsidR="00B05440" w:rsidRPr="00166AE1" w:rsidRDefault="00C9265D" w:rsidP="00F67191">
            <w:pPr>
              <w:rPr>
                <w:highlight w:val="yellow"/>
                <w:lang w:val="fr-FR"/>
              </w:rPr>
            </w:pPr>
            <w:r w:rsidRPr="00166AE1">
              <w:rPr>
                <w:highlight w:val="yellow"/>
                <w:lang w:val="fr-FR"/>
              </w:rPr>
              <w:t>USD</w:t>
            </w:r>
          </w:p>
        </w:tc>
        <w:tc>
          <w:tcPr>
            <w:tcW w:w="3174" w:type="dxa"/>
            <w:tcBorders>
              <w:top w:val="single" w:sz="4" w:space="0" w:color="auto"/>
              <w:left w:val="single" w:sz="4" w:space="0" w:color="auto"/>
              <w:bottom w:val="single" w:sz="4" w:space="0" w:color="auto"/>
              <w:right w:val="single" w:sz="4" w:space="0" w:color="auto"/>
            </w:tcBorders>
          </w:tcPr>
          <w:p w14:paraId="3C4EF647" w14:textId="1CD643CC" w:rsidR="00B05440" w:rsidRPr="00135BB1" w:rsidRDefault="00B05440" w:rsidP="00F67191">
            <w:pPr>
              <w:rPr>
                <w:lang w:val="fr-FR"/>
              </w:rPr>
            </w:pPr>
          </w:p>
        </w:tc>
      </w:tr>
      <w:tr w:rsidR="00F67191" w:rsidRPr="00B12AE6" w14:paraId="6FBEEB96" w14:textId="77777777" w:rsidTr="00CB72F6">
        <w:trPr>
          <w:jc w:val="center"/>
        </w:trPr>
        <w:tc>
          <w:tcPr>
            <w:tcW w:w="1938" w:type="dxa"/>
            <w:tcBorders>
              <w:top w:val="single" w:sz="4" w:space="0" w:color="auto"/>
              <w:left w:val="single" w:sz="4" w:space="0" w:color="auto"/>
              <w:bottom w:val="single" w:sz="4" w:space="0" w:color="auto"/>
              <w:right w:val="single" w:sz="4" w:space="0" w:color="auto"/>
            </w:tcBorders>
            <w:shd w:val="clear" w:color="auto" w:fill="BDD6EE"/>
          </w:tcPr>
          <w:p w14:paraId="1C82C26D" w14:textId="77777777" w:rsidR="00F67191" w:rsidRPr="00135BB1" w:rsidRDefault="00F67191" w:rsidP="00F67191">
            <w:pPr>
              <w:rPr>
                <w:lang w:val="fr-FR"/>
              </w:rPr>
            </w:pPr>
            <w:r w:rsidRPr="00135BB1">
              <w:rPr>
                <w:lang w:val="fr-FR"/>
              </w:rPr>
              <w:t xml:space="preserve">1.5 </w:t>
            </w:r>
            <w:r w:rsidR="00B05440" w:rsidRPr="00135BB1">
              <w:rPr>
                <w:lang w:val="fr-FR"/>
              </w:rPr>
              <w:t>Contribution financière partenaire fait à ce jour (le cas échéant)</w:t>
            </w:r>
          </w:p>
        </w:tc>
        <w:tc>
          <w:tcPr>
            <w:tcW w:w="8957" w:type="dxa"/>
            <w:gridSpan w:val="3"/>
            <w:tcBorders>
              <w:top w:val="single" w:sz="4" w:space="0" w:color="auto"/>
              <w:left w:val="single" w:sz="4" w:space="0" w:color="auto"/>
              <w:bottom w:val="single" w:sz="4" w:space="0" w:color="auto"/>
              <w:right w:val="single" w:sz="4" w:space="0" w:color="auto"/>
            </w:tcBorders>
          </w:tcPr>
          <w:p w14:paraId="5F698FCF" w14:textId="77777777" w:rsidR="00F67191" w:rsidRPr="00135BB1" w:rsidRDefault="00F67191" w:rsidP="00F67191">
            <w:pPr>
              <w:rPr>
                <w:bCs/>
                <w:color w:val="000000"/>
                <w:lang w:val="fr-FR"/>
              </w:rPr>
            </w:pPr>
          </w:p>
        </w:tc>
      </w:tr>
      <w:tr w:rsidR="0062011C" w:rsidRPr="00B12AE6" w14:paraId="13E6DAD0" w14:textId="77777777" w:rsidTr="00775D22">
        <w:trPr>
          <w:jc w:val="center"/>
        </w:trPr>
        <w:tc>
          <w:tcPr>
            <w:tcW w:w="1938" w:type="dxa"/>
            <w:tcBorders>
              <w:top w:val="single" w:sz="4" w:space="0" w:color="auto"/>
              <w:left w:val="single" w:sz="4" w:space="0" w:color="auto"/>
              <w:bottom w:val="single" w:sz="4" w:space="0" w:color="auto"/>
              <w:right w:val="single" w:sz="4" w:space="0" w:color="auto"/>
            </w:tcBorders>
            <w:shd w:val="clear" w:color="auto" w:fill="BDD6EE"/>
          </w:tcPr>
          <w:p w14:paraId="0A60CF35" w14:textId="77777777" w:rsidR="0062011C" w:rsidRPr="00135BB1" w:rsidRDefault="0062011C" w:rsidP="00F67191">
            <w:pPr>
              <w:rPr>
                <w:lang w:val="fr-FR"/>
              </w:rPr>
            </w:pPr>
            <w:r w:rsidRPr="00135BB1">
              <w:rPr>
                <w:lang w:val="fr-FR"/>
              </w:rPr>
              <w:t>1.7. Zones d’intervention</w:t>
            </w:r>
            <w:r w:rsidRPr="00135BB1">
              <w:rPr>
                <w:rFonts w:cs="Times New Roman"/>
                <w:color w:val="000000"/>
                <w:lang w:val="fr-FR"/>
              </w:rPr>
              <w:t xml:space="preserve"> par l'organisation</w:t>
            </w:r>
            <w:r w:rsidRPr="00135BB1">
              <w:rPr>
                <w:lang w:val="fr-FR"/>
              </w:rPr>
              <w:t xml:space="preserve"> OSC (région, cercles, commune)</w:t>
            </w:r>
          </w:p>
        </w:tc>
        <w:tc>
          <w:tcPr>
            <w:tcW w:w="8957" w:type="dxa"/>
            <w:gridSpan w:val="3"/>
            <w:tcBorders>
              <w:top w:val="single" w:sz="4" w:space="0" w:color="auto"/>
              <w:left w:val="single" w:sz="4" w:space="0" w:color="auto"/>
              <w:bottom w:val="single" w:sz="4" w:space="0" w:color="auto"/>
              <w:right w:val="single" w:sz="4" w:space="0" w:color="auto"/>
            </w:tcBorders>
          </w:tcPr>
          <w:p w14:paraId="3EF9E584" w14:textId="77777777" w:rsidR="0062011C" w:rsidRPr="00135BB1" w:rsidRDefault="008009E5" w:rsidP="00F67191">
            <w:pPr>
              <w:rPr>
                <w:bCs/>
                <w:color w:val="000000"/>
                <w:lang w:val="fr-FR"/>
              </w:rPr>
            </w:pPr>
            <w:r w:rsidRPr="00135BB1">
              <w:rPr>
                <w:bCs/>
                <w:color w:val="000000"/>
                <w:lang w:val="fr-FR"/>
              </w:rPr>
              <w:t xml:space="preserve">Régions de </w:t>
            </w:r>
            <w:r w:rsidR="008F03EF" w:rsidRPr="00135BB1">
              <w:rPr>
                <w:bCs/>
                <w:color w:val="000000"/>
                <w:lang w:val="fr-FR"/>
              </w:rPr>
              <w:t xml:space="preserve">Mopti </w:t>
            </w:r>
            <w:r w:rsidRPr="00135BB1">
              <w:rPr>
                <w:bCs/>
                <w:color w:val="000000"/>
                <w:lang w:val="fr-FR"/>
              </w:rPr>
              <w:t>et Tombouctou</w:t>
            </w:r>
            <w:r w:rsidR="008F03EF" w:rsidRPr="00135BB1">
              <w:rPr>
                <w:bCs/>
                <w:color w:val="000000"/>
                <w:lang w:val="fr-FR"/>
              </w:rPr>
              <w:t xml:space="preserve">, </w:t>
            </w:r>
            <w:r w:rsidRPr="00135BB1">
              <w:rPr>
                <w:bCs/>
                <w:color w:val="000000"/>
                <w:lang w:val="fr-FR"/>
              </w:rPr>
              <w:t xml:space="preserve">République du </w:t>
            </w:r>
            <w:r w:rsidR="008F03EF" w:rsidRPr="00135BB1">
              <w:rPr>
                <w:bCs/>
                <w:color w:val="000000"/>
                <w:lang w:val="fr-FR"/>
              </w:rPr>
              <w:t>Mali</w:t>
            </w:r>
          </w:p>
        </w:tc>
      </w:tr>
      <w:tr w:rsidR="00F67191" w:rsidRPr="00135BB1" w14:paraId="4AB017E9" w14:textId="77777777" w:rsidTr="00CB72F6">
        <w:trPr>
          <w:jc w:val="center"/>
        </w:trPr>
        <w:tc>
          <w:tcPr>
            <w:tcW w:w="1938" w:type="dxa"/>
            <w:tcBorders>
              <w:top w:val="single" w:sz="4" w:space="0" w:color="auto"/>
              <w:left w:val="single" w:sz="4" w:space="0" w:color="auto"/>
              <w:bottom w:val="single" w:sz="4" w:space="0" w:color="auto"/>
              <w:right w:val="single" w:sz="4" w:space="0" w:color="auto"/>
            </w:tcBorders>
            <w:shd w:val="clear" w:color="auto" w:fill="BDD6EE"/>
          </w:tcPr>
          <w:p w14:paraId="1A651995" w14:textId="77777777" w:rsidR="00F67191" w:rsidRPr="00135BB1" w:rsidRDefault="00F67191" w:rsidP="00F67191">
            <w:pPr>
              <w:rPr>
                <w:lang w:val="fr-FR"/>
              </w:rPr>
            </w:pPr>
            <w:r w:rsidRPr="00135BB1">
              <w:rPr>
                <w:lang w:val="fr-FR"/>
              </w:rPr>
              <w:t>1.</w:t>
            </w:r>
            <w:r w:rsidR="00385CEE" w:rsidRPr="00135BB1">
              <w:rPr>
                <w:lang w:val="fr-FR"/>
              </w:rPr>
              <w:t>8</w:t>
            </w:r>
            <w:r w:rsidRPr="00135BB1">
              <w:rPr>
                <w:lang w:val="fr-FR"/>
              </w:rPr>
              <w:t xml:space="preserve"> </w:t>
            </w:r>
            <w:r w:rsidR="00B05440" w:rsidRPr="00135BB1">
              <w:rPr>
                <w:lang w:val="fr-FR"/>
              </w:rPr>
              <w:t>Signature du fonctionnaire autorisé d’OSC</w:t>
            </w:r>
          </w:p>
        </w:tc>
        <w:tc>
          <w:tcPr>
            <w:tcW w:w="5783" w:type="dxa"/>
            <w:gridSpan w:val="2"/>
            <w:tcBorders>
              <w:top w:val="single" w:sz="4" w:space="0" w:color="auto"/>
              <w:left w:val="single" w:sz="4" w:space="0" w:color="auto"/>
              <w:bottom w:val="single" w:sz="4" w:space="0" w:color="auto"/>
              <w:right w:val="single" w:sz="4" w:space="0" w:color="auto"/>
            </w:tcBorders>
          </w:tcPr>
          <w:p w14:paraId="33932F90" w14:textId="2A887AEA" w:rsidR="00F67191" w:rsidRPr="00135BB1" w:rsidRDefault="00855BBE" w:rsidP="00F67191">
            <w:pPr>
              <w:rPr>
                <w:bCs/>
                <w:color w:val="000000"/>
                <w:lang w:val="fr-FR"/>
              </w:rPr>
            </w:pPr>
            <w:r w:rsidRPr="00EC3A8D">
              <w:rPr>
                <w:rFonts w:ascii="Arial" w:hAnsi="Arial"/>
                <w:noProof/>
                <w:lang w:val="fr-FR" w:eastAsia="fr-FR"/>
              </w:rPr>
              <w:drawing>
                <wp:anchor distT="0" distB="0" distL="114300" distR="114300" simplePos="0" relativeHeight="251659776" behindDoc="1" locked="0" layoutInCell="1" allowOverlap="1" wp14:anchorId="50E030C8" wp14:editId="43BC5753">
                  <wp:simplePos x="0" y="0"/>
                  <wp:positionH relativeFrom="column">
                    <wp:posOffset>1905</wp:posOffset>
                  </wp:positionH>
                  <wp:positionV relativeFrom="paragraph">
                    <wp:posOffset>9525</wp:posOffset>
                  </wp:positionV>
                  <wp:extent cx="1504950" cy="6667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clrChange>
                              <a:clrFrom>
                                <a:srgbClr val="CCD4E1"/>
                              </a:clrFrom>
                              <a:clrTo>
                                <a:srgbClr val="CCD4E1">
                                  <a:alpha val="0"/>
                                </a:srgbClr>
                              </a:clrTo>
                            </a:clrChange>
                            <a:lum contrast="-80000"/>
                            <a:extLst>
                              <a:ext uri="{28A0092B-C50C-407E-A947-70E740481C1C}">
                                <a14:useLocalDpi xmlns:a14="http://schemas.microsoft.com/office/drawing/2010/main" val="0"/>
                              </a:ext>
                            </a:extLst>
                          </a:blip>
                          <a:srcRect/>
                          <a:stretch>
                            <a:fillRect/>
                          </a:stretch>
                        </pic:blipFill>
                        <pic:spPr bwMode="auto">
                          <a:xfrm>
                            <a:off x="0" y="0"/>
                            <a:ext cx="1504950" cy="666750"/>
                          </a:xfrm>
                          <a:prstGeom prst="rect">
                            <a:avLst/>
                          </a:prstGeom>
                          <a:noFill/>
                          <a:ln>
                            <a:noFill/>
                          </a:ln>
                        </pic:spPr>
                      </pic:pic>
                    </a:graphicData>
                  </a:graphic>
                </wp:anchor>
              </w:drawing>
            </w:r>
          </w:p>
        </w:tc>
        <w:tc>
          <w:tcPr>
            <w:tcW w:w="3174" w:type="dxa"/>
            <w:tcBorders>
              <w:top w:val="single" w:sz="4" w:space="0" w:color="auto"/>
              <w:left w:val="single" w:sz="4" w:space="0" w:color="auto"/>
              <w:bottom w:val="single" w:sz="4" w:space="0" w:color="auto"/>
              <w:right w:val="single" w:sz="4" w:space="0" w:color="auto"/>
            </w:tcBorders>
          </w:tcPr>
          <w:p w14:paraId="55D191F6" w14:textId="1A37066F" w:rsidR="00F67191" w:rsidRDefault="00F67191" w:rsidP="00F67191">
            <w:pPr>
              <w:rPr>
                <w:bCs/>
                <w:color w:val="000000"/>
                <w:lang w:val="fr-FR"/>
              </w:rPr>
            </w:pPr>
            <w:r w:rsidRPr="000A07AF">
              <w:rPr>
                <w:bCs/>
                <w:color w:val="000000"/>
                <w:highlight w:val="yellow"/>
                <w:lang w:val="fr-FR"/>
              </w:rPr>
              <w:t>Date</w:t>
            </w:r>
            <w:r w:rsidR="00FD7654">
              <w:rPr>
                <w:bCs/>
                <w:color w:val="000000"/>
                <w:lang w:val="fr-FR"/>
              </w:rPr>
              <w:t xml:space="preserve"> </w:t>
            </w:r>
          </w:p>
          <w:p w14:paraId="30947743" w14:textId="1FCABFE8" w:rsidR="00855BBE" w:rsidRPr="00135BB1" w:rsidRDefault="00855BBE" w:rsidP="00F67191">
            <w:pPr>
              <w:rPr>
                <w:bCs/>
                <w:color w:val="000000"/>
                <w:lang w:val="fr-FR"/>
              </w:rPr>
            </w:pPr>
          </w:p>
        </w:tc>
      </w:tr>
    </w:tbl>
    <w:p w14:paraId="609225ED" w14:textId="77777777" w:rsidR="0033776B" w:rsidRPr="00135BB1" w:rsidRDefault="0033776B" w:rsidP="00EC22AD">
      <w:pPr>
        <w:rPr>
          <w:rFonts w:cs="Times New Roman"/>
          <w:color w:val="76923C"/>
          <w:lang w:val="fr-FR"/>
        </w:rPr>
      </w:pPr>
    </w:p>
    <w:p w14:paraId="61C5DE98" w14:textId="77777777" w:rsidR="00385CEE" w:rsidRPr="00135BB1" w:rsidRDefault="00385CEE" w:rsidP="00EC22AD">
      <w:pPr>
        <w:rPr>
          <w:rFonts w:cs="Times New Roman"/>
          <w:color w:val="76923C"/>
          <w:lang w:val="fr-FR"/>
        </w:rPr>
      </w:pPr>
    </w:p>
    <w:p w14:paraId="7EF963D4" w14:textId="77777777" w:rsidR="00385CEE" w:rsidRPr="00135BB1" w:rsidRDefault="00385CEE" w:rsidP="00EC22AD">
      <w:pPr>
        <w:rPr>
          <w:rFonts w:cs="Times New Roman"/>
          <w:color w:val="76923C"/>
          <w:lang w:val="fr-FR"/>
        </w:rPr>
      </w:pPr>
    </w:p>
    <w:p w14:paraId="4077AA76" w14:textId="77777777" w:rsidR="00385CEE" w:rsidRPr="00135BB1" w:rsidRDefault="00385CEE" w:rsidP="00EC22AD">
      <w:pPr>
        <w:rPr>
          <w:rFonts w:cs="Times New Roman"/>
          <w:color w:val="76923C"/>
          <w:lang w:val="fr-FR"/>
        </w:rPr>
      </w:pPr>
    </w:p>
    <w:p w14:paraId="49D340D1" w14:textId="77777777" w:rsidR="00385CEE" w:rsidRPr="00135BB1" w:rsidRDefault="00385CEE" w:rsidP="00EC22AD">
      <w:pPr>
        <w:rPr>
          <w:rFonts w:cs="Times New Roman"/>
          <w:color w:val="76923C"/>
          <w:lang w:val="fr-FR"/>
        </w:rPr>
      </w:pPr>
    </w:p>
    <w:p w14:paraId="486A647F" w14:textId="77777777" w:rsidR="00385CEE" w:rsidRPr="00135BB1" w:rsidRDefault="00385CEE" w:rsidP="00EC22AD">
      <w:pPr>
        <w:rPr>
          <w:rFonts w:cs="Times New Roman"/>
          <w:color w:val="76923C"/>
          <w:lang w:val="fr-FR"/>
        </w:rPr>
      </w:pPr>
    </w:p>
    <w:p w14:paraId="349E3C6C" w14:textId="77777777" w:rsidR="00385CEE" w:rsidRPr="00135BB1" w:rsidRDefault="00385CEE" w:rsidP="00EC22AD">
      <w:pPr>
        <w:rPr>
          <w:rFonts w:cs="Times New Roman"/>
          <w:color w:val="76923C"/>
          <w:lang w:val="fr-FR"/>
        </w:rPr>
      </w:pPr>
    </w:p>
    <w:p w14:paraId="3580BE5F" w14:textId="77777777" w:rsidR="00385CEE" w:rsidRPr="00135BB1" w:rsidRDefault="00385CEE" w:rsidP="00EC22AD">
      <w:pPr>
        <w:rPr>
          <w:rFonts w:cs="Times New Roman"/>
          <w:color w:val="76923C"/>
          <w:lang w:val="fr-FR"/>
        </w:rPr>
      </w:pPr>
    </w:p>
    <w:p w14:paraId="271412C3" w14:textId="77777777" w:rsidR="00385CEE" w:rsidRPr="00135BB1" w:rsidRDefault="00385CEE" w:rsidP="00EC22AD">
      <w:pPr>
        <w:rPr>
          <w:rFonts w:cs="Times New Roman"/>
          <w:color w:val="76923C"/>
          <w:lang w:val="fr-FR"/>
        </w:rPr>
      </w:pPr>
    </w:p>
    <w:tbl>
      <w:tblPr>
        <w:tblW w:w="10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4"/>
      </w:tblGrid>
      <w:tr w:rsidR="0033776B" w:rsidRPr="00135BB1" w14:paraId="237E4F89" w14:textId="77777777" w:rsidTr="0051328C">
        <w:trPr>
          <w:jc w:val="center"/>
        </w:trPr>
        <w:tc>
          <w:tcPr>
            <w:tcW w:w="10854" w:type="dxa"/>
            <w:tcBorders>
              <w:bottom w:val="single" w:sz="4" w:space="0" w:color="auto"/>
            </w:tcBorders>
            <w:shd w:val="clear" w:color="auto" w:fill="BDD6EE"/>
          </w:tcPr>
          <w:p w14:paraId="48208AEC" w14:textId="77777777" w:rsidR="0033776B" w:rsidRPr="00135BB1" w:rsidRDefault="00B05440" w:rsidP="0015616F">
            <w:pPr>
              <w:pStyle w:val="Paragraphedeliste"/>
              <w:numPr>
                <w:ilvl w:val="0"/>
                <w:numId w:val="2"/>
              </w:numPr>
              <w:spacing w:after="120" w:line="240" w:lineRule="auto"/>
              <w:rPr>
                <w:rFonts w:cs="Times New Roman"/>
                <w:b/>
                <w:bCs/>
                <w:sz w:val="24"/>
                <w:szCs w:val="24"/>
                <w:lang w:val="fr-FR"/>
              </w:rPr>
            </w:pPr>
            <w:r w:rsidRPr="00135BB1">
              <w:rPr>
                <w:rFonts w:cs="Times New Roman"/>
                <w:b/>
                <w:bCs/>
                <w:sz w:val="24"/>
                <w:szCs w:val="24"/>
                <w:lang w:val="fr-FR"/>
              </w:rPr>
              <w:t>Sommaire exécutif</w:t>
            </w:r>
          </w:p>
        </w:tc>
      </w:tr>
      <w:tr w:rsidR="0033776B" w:rsidRPr="00B12AE6" w14:paraId="3C34D96A" w14:textId="77777777" w:rsidTr="0051328C">
        <w:trPr>
          <w:trHeight w:val="5705"/>
          <w:jc w:val="center"/>
        </w:trPr>
        <w:tc>
          <w:tcPr>
            <w:tcW w:w="10854" w:type="dxa"/>
            <w:tcBorders>
              <w:bottom w:val="single" w:sz="4" w:space="0" w:color="auto"/>
            </w:tcBorders>
          </w:tcPr>
          <w:p w14:paraId="3FBDFF67" w14:textId="77777777" w:rsidR="0033776B" w:rsidRDefault="00E16B8D" w:rsidP="0051328C">
            <w:pPr>
              <w:pBdr>
                <w:bottom w:val="single" w:sz="4" w:space="1" w:color="auto"/>
              </w:pBdr>
              <w:suppressAutoHyphens/>
              <w:spacing w:after="0" w:line="240" w:lineRule="auto"/>
              <w:jc w:val="both"/>
              <w:rPr>
                <w:rFonts w:cs="Times New Roman"/>
                <w:bCs/>
                <w:i/>
                <w:color w:val="000000"/>
                <w:lang w:val="fr-FR"/>
              </w:rPr>
            </w:pPr>
            <w:r w:rsidRPr="00135BB1">
              <w:rPr>
                <w:rFonts w:cs="Times New Roman"/>
                <w:bCs/>
                <w:i/>
                <w:color w:val="000000"/>
                <w:lang w:val="fr-FR"/>
              </w:rPr>
              <w:t>Le sommaire exécutif doit être préparé après la préparation des autres sections du rapport et doit être un résumé du rapport</w:t>
            </w:r>
            <w:r w:rsidR="00555BBD" w:rsidRPr="00135BB1">
              <w:rPr>
                <w:rFonts w:cs="Times New Roman"/>
                <w:bCs/>
                <w:i/>
                <w:color w:val="000000"/>
                <w:lang w:val="fr-FR"/>
              </w:rPr>
              <w:t>.</w:t>
            </w:r>
          </w:p>
          <w:p w14:paraId="4F2BEA99" w14:textId="77777777" w:rsidR="00AB0495" w:rsidRDefault="00AB0495" w:rsidP="0051328C">
            <w:pPr>
              <w:suppressAutoHyphens/>
              <w:spacing w:after="120" w:line="240" w:lineRule="auto"/>
              <w:contextualSpacing/>
              <w:jc w:val="both"/>
              <w:rPr>
                <w:rFonts w:asciiTheme="minorHAnsi" w:hAnsiTheme="minorHAnsi" w:cstheme="minorHAnsi"/>
                <w:iCs/>
                <w:color w:val="000000"/>
                <w:u w:val="single"/>
                <w:lang w:val="fr-FR"/>
              </w:rPr>
            </w:pPr>
          </w:p>
          <w:p w14:paraId="57AB88A7" w14:textId="19996226" w:rsidR="00AC7D41" w:rsidRDefault="006B1D32" w:rsidP="005A2A29">
            <w:pPr>
              <w:pStyle w:val="Paragraphedeliste"/>
              <w:numPr>
                <w:ilvl w:val="0"/>
                <w:numId w:val="37"/>
              </w:numPr>
              <w:suppressAutoHyphens/>
              <w:spacing w:after="120"/>
              <w:jc w:val="both"/>
              <w:rPr>
                <w:rFonts w:asciiTheme="minorHAnsi" w:eastAsia="Times New Roman" w:hAnsiTheme="minorHAnsi" w:cstheme="minorHAnsi"/>
                <w:b/>
                <w:bCs/>
                <w:lang w:val="fr-FR" w:eastAsia="fr-FR"/>
              </w:rPr>
            </w:pPr>
            <w:r w:rsidRPr="00D40A83">
              <w:rPr>
                <w:rFonts w:asciiTheme="minorHAnsi" w:eastAsia="Times New Roman" w:hAnsiTheme="minorHAnsi" w:cstheme="minorHAnsi"/>
                <w:b/>
                <w:bCs/>
                <w:lang w:val="fr-FR" w:eastAsia="fr-FR"/>
              </w:rPr>
              <w:t>Rappel</w:t>
            </w:r>
          </w:p>
          <w:p w14:paraId="2C570880" w14:textId="77777777" w:rsidR="00D40A83" w:rsidRPr="00D40A83" w:rsidRDefault="00D40A83" w:rsidP="00D40A83">
            <w:pPr>
              <w:pStyle w:val="Paragraphedeliste"/>
              <w:suppressAutoHyphens/>
              <w:spacing w:after="120"/>
              <w:ind w:left="1080"/>
              <w:jc w:val="both"/>
              <w:rPr>
                <w:rFonts w:asciiTheme="minorHAnsi" w:eastAsia="Times New Roman" w:hAnsiTheme="minorHAnsi" w:cstheme="minorHAnsi"/>
                <w:b/>
                <w:bCs/>
                <w:lang w:val="fr-FR" w:eastAsia="fr-FR"/>
              </w:rPr>
            </w:pPr>
          </w:p>
          <w:tbl>
            <w:tblPr>
              <w:tblStyle w:val="Grilledutableau"/>
              <w:tblW w:w="0" w:type="auto"/>
              <w:tblLook w:val="04A0" w:firstRow="1" w:lastRow="0" w:firstColumn="1" w:lastColumn="0" w:noHBand="0" w:noVBand="1"/>
            </w:tblPr>
            <w:tblGrid>
              <w:gridCol w:w="7898"/>
              <w:gridCol w:w="2730"/>
            </w:tblGrid>
            <w:tr w:rsidR="0051328C" w:rsidRPr="00B12AE6" w14:paraId="5018D223" w14:textId="77777777" w:rsidTr="00A87C75">
              <w:tc>
                <w:tcPr>
                  <w:tcW w:w="0" w:type="auto"/>
                  <w:shd w:val="clear" w:color="auto" w:fill="D0CECE" w:themeFill="background2" w:themeFillShade="E6"/>
                </w:tcPr>
                <w:p w14:paraId="7A337136" w14:textId="0D31C81C" w:rsidR="0051328C" w:rsidRPr="00507075" w:rsidRDefault="0051328C" w:rsidP="00A87C75">
                  <w:pPr>
                    <w:suppressAutoHyphens/>
                    <w:spacing w:after="120" w:line="240" w:lineRule="auto"/>
                    <w:jc w:val="center"/>
                    <w:rPr>
                      <w:rFonts w:asciiTheme="minorHAnsi" w:hAnsiTheme="minorHAnsi" w:cstheme="minorHAnsi"/>
                      <w:b/>
                      <w:bCs/>
                      <w:iCs/>
                      <w:color w:val="000000"/>
                      <w:lang w:val="fr-FR"/>
                    </w:rPr>
                  </w:pPr>
                  <w:r w:rsidRPr="00507075">
                    <w:rPr>
                      <w:rFonts w:asciiTheme="minorHAnsi" w:hAnsiTheme="minorHAnsi" w:cstheme="minorHAnsi"/>
                      <w:b/>
                      <w:bCs/>
                      <w:iCs/>
                      <w:color w:val="000000"/>
                      <w:lang w:val="fr-FR"/>
                    </w:rPr>
                    <w:t>Composante/Résultat</w:t>
                  </w:r>
                </w:p>
              </w:tc>
              <w:tc>
                <w:tcPr>
                  <w:tcW w:w="0" w:type="auto"/>
                  <w:shd w:val="clear" w:color="auto" w:fill="D0CECE" w:themeFill="background2" w:themeFillShade="E6"/>
                </w:tcPr>
                <w:p w14:paraId="228B2BB7" w14:textId="19373FA8" w:rsidR="0051328C" w:rsidRPr="00507075" w:rsidRDefault="0051328C" w:rsidP="00A87C75">
                  <w:pPr>
                    <w:suppressAutoHyphens/>
                    <w:spacing w:after="120" w:line="240" w:lineRule="auto"/>
                    <w:jc w:val="center"/>
                    <w:rPr>
                      <w:rFonts w:asciiTheme="minorHAnsi" w:hAnsiTheme="minorHAnsi" w:cstheme="minorHAnsi"/>
                      <w:b/>
                      <w:bCs/>
                      <w:iCs/>
                      <w:color w:val="000000"/>
                      <w:lang w:val="fr-FR"/>
                    </w:rPr>
                  </w:pPr>
                  <w:r w:rsidRPr="00507075">
                    <w:rPr>
                      <w:rFonts w:asciiTheme="minorHAnsi" w:hAnsiTheme="minorHAnsi" w:cstheme="minorHAnsi"/>
                      <w:b/>
                      <w:bCs/>
                      <w:iCs/>
                      <w:color w:val="000000"/>
                      <w:lang w:val="fr-FR"/>
                    </w:rPr>
                    <w:t>Éléments sous la responsabilité du PEM</w:t>
                  </w:r>
                </w:p>
              </w:tc>
            </w:tr>
            <w:tr w:rsidR="00AC7D41" w:rsidRPr="00B12AE6" w14:paraId="258D4CEA" w14:textId="6C070EF6" w:rsidTr="00A87C75">
              <w:tc>
                <w:tcPr>
                  <w:tcW w:w="0" w:type="auto"/>
                </w:tcPr>
                <w:p w14:paraId="03EDFBD5" w14:textId="4D614035" w:rsidR="00AC7D41" w:rsidRPr="00507075" w:rsidRDefault="00AC7D41" w:rsidP="00AB0495">
                  <w:pPr>
                    <w:suppressAutoHyphens/>
                    <w:spacing w:after="120" w:line="240" w:lineRule="auto"/>
                    <w:jc w:val="both"/>
                    <w:rPr>
                      <w:rFonts w:asciiTheme="minorHAnsi" w:hAnsiTheme="minorHAnsi" w:cstheme="minorHAnsi"/>
                      <w:b/>
                      <w:bCs/>
                      <w:iCs/>
                      <w:color w:val="000000"/>
                      <w:lang w:val="fr-FR"/>
                    </w:rPr>
                  </w:pPr>
                  <w:r w:rsidRPr="00507075">
                    <w:rPr>
                      <w:rFonts w:asciiTheme="minorHAnsi" w:hAnsiTheme="minorHAnsi" w:cstheme="minorHAnsi"/>
                      <w:b/>
                      <w:bCs/>
                      <w:iCs/>
                      <w:color w:val="000000"/>
                      <w:lang w:val="fr-FR"/>
                    </w:rPr>
                    <w:t>Composante 2. Protéger les éléphants du Gourma contre le braconnage et sécuriser les voies migratoires saisonnières et les habitats clés</w:t>
                  </w:r>
                  <w:r w:rsidRPr="00507075">
                    <w:rPr>
                      <w:rFonts w:asciiTheme="minorHAnsi" w:hAnsiTheme="minorHAnsi" w:cstheme="minorHAnsi"/>
                      <w:iCs/>
                      <w:color w:val="000000"/>
                      <w:lang w:val="fr-FR"/>
                    </w:rPr>
                    <w:t> </w:t>
                  </w:r>
                </w:p>
              </w:tc>
              <w:tc>
                <w:tcPr>
                  <w:tcW w:w="0" w:type="auto"/>
                </w:tcPr>
                <w:p w14:paraId="65D5EBDA" w14:textId="77777777" w:rsidR="00AC7D41" w:rsidRPr="00507075" w:rsidRDefault="00AC7D41" w:rsidP="00AB0495">
                  <w:pPr>
                    <w:suppressAutoHyphens/>
                    <w:spacing w:after="120" w:line="240" w:lineRule="auto"/>
                    <w:jc w:val="both"/>
                    <w:rPr>
                      <w:rFonts w:asciiTheme="minorHAnsi" w:hAnsiTheme="minorHAnsi" w:cstheme="minorHAnsi"/>
                      <w:b/>
                      <w:bCs/>
                      <w:iCs/>
                      <w:color w:val="000000"/>
                      <w:lang w:val="fr-FR"/>
                    </w:rPr>
                  </w:pPr>
                </w:p>
              </w:tc>
            </w:tr>
            <w:tr w:rsidR="00AC7D41" w:rsidRPr="00507075" w14:paraId="0EAB824B" w14:textId="3F46C891" w:rsidTr="00A87C75">
              <w:tc>
                <w:tcPr>
                  <w:tcW w:w="0" w:type="auto"/>
                </w:tcPr>
                <w:p w14:paraId="07D3A5D3" w14:textId="4050CB35" w:rsidR="00AC7D41" w:rsidRPr="00507075" w:rsidRDefault="00A87C75" w:rsidP="00AC7D41">
                  <w:pPr>
                    <w:pStyle w:val="Paragraphedeliste"/>
                    <w:numPr>
                      <w:ilvl w:val="0"/>
                      <w:numId w:val="6"/>
                    </w:numPr>
                    <w:suppressAutoHyphens/>
                    <w:spacing w:after="120" w:line="240" w:lineRule="auto"/>
                    <w:jc w:val="both"/>
                    <w:rPr>
                      <w:rFonts w:asciiTheme="minorHAnsi" w:hAnsiTheme="minorHAnsi" w:cstheme="minorHAnsi"/>
                      <w:iCs/>
                      <w:color w:val="000000"/>
                      <w:u w:val="single"/>
                      <w:lang w:val="fr-FR"/>
                    </w:rPr>
                  </w:pPr>
                  <w:r w:rsidRPr="00507075">
                    <w:rPr>
                      <w:rFonts w:asciiTheme="minorHAnsi" w:hAnsiTheme="minorHAnsi" w:cstheme="minorHAnsi"/>
                      <w:iCs/>
                      <w:color w:val="000000"/>
                      <w:lang w:val="fr-FR"/>
                    </w:rPr>
                    <w:t>La</w:t>
                  </w:r>
                  <w:r w:rsidR="00AC7D41" w:rsidRPr="00507075">
                    <w:rPr>
                      <w:rFonts w:asciiTheme="minorHAnsi" w:hAnsiTheme="minorHAnsi" w:cstheme="minorHAnsi"/>
                      <w:iCs/>
                      <w:color w:val="000000"/>
                      <w:lang w:val="fr-FR"/>
                    </w:rPr>
                    <w:t xml:space="preserve"> formation de l’unité anti-braconnage par Chengeta Wildlife (CW)</w:t>
                  </w:r>
                </w:p>
              </w:tc>
              <w:tc>
                <w:tcPr>
                  <w:tcW w:w="0" w:type="auto"/>
                </w:tcPr>
                <w:p w14:paraId="19893FF7" w14:textId="2039AAB1" w:rsidR="00AC7D41" w:rsidRPr="00507075" w:rsidRDefault="0051328C" w:rsidP="0051328C">
                  <w:pPr>
                    <w:suppressAutoHyphens/>
                    <w:spacing w:after="120" w:line="240" w:lineRule="auto"/>
                    <w:jc w:val="both"/>
                    <w:rPr>
                      <w:rFonts w:asciiTheme="minorHAnsi" w:hAnsiTheme="minorHAnsi" w:cstheme="minorHAnsi"/>
                      <w:iCs/>
                      <w:color w:val="000000"/>
                      <w:lang w:val="fr-FR"/>
                    </w:rPr>
                  </w:pPr>
                  <w:r w:rsidRPr="00507075">
                    <w:rPr>
                      <w:rFonts w:asciiTheme="minorHAnsi" w:hAnsiTheme="minorHAnsi" w:cstheme="minorHAnsi"/>
                      <w:iCs/>
                      <w:color w:val="000000"/>
                      <w:lang w:val="fr-FR"/>
                    </w:rPr>
                    <w:t>X</w:t>
                  </w:r>
                </w:p>
              </w:tc>
            </w:tr>
            <w:tr w:rsidR="00AC7D41" w:rsidRPr="00507075" w14:paraId="5C38C0DE" w14:textId="41679FAD" w:rsidTr="00A87C75">
              <w:tc>
                <w:tcPr>
                  <w:tcW w:w="0" w:type="auto"/>
                </w:tcPr>
                <w:p w14:paraId="64B2373C" w14:textId="63665803" w:rsidR="00AC7D41" w:rsidRPr="00507075" w:rsidRDefault="00A87C75" w:rsidP="00AC7D41">
                  <w:pPr>
                    <w:pStyle w:val="Paragraphedeliste"/>
                    <w:numPr>
                      <w:ilvl w:val="0"/>
                      <w:numId w:val="6"/>
                    </w:numPr>
                    <w:suppressAutoHyphens/>
                    <w:spacing w:after="120" w:line="240" w:lineRule="auto"/>
                    <w:jc w:val="both"/>
                    <w:rPr>
                      <w:rFonts w:asciiTheme="minorHAnsi" w:hAnsiTheme="minorHAnsi" w:cstheme="minorHAnsi"/>
                      <w:iCs/>
                      <w:color w:val="000000"/>
                      <w:u w:val="single"/>
                      <w:lang w:val="fr-FR"/>
                    </w:rPr>
                  </w:pPr>
                  <w:r w:rsidRPr="00507075">
                    <w:rPr>
                      <w:rFonts w:asciiTheme="minorHAnsi" w:hAnsiTheme="minorHAnsi" w:cstheme="minorHAnsi"/>
                      <w:iCs/>
                      <w:color w:val="000000"/>
                      <w:lang w:val="fr-FR"/>
                    </w:rPr>
                    <w:t>L’équipement</w:t>
                  </w:r>
                  <w:r w:rsidR="00AC7D41" w:rsidRPr="00507075">
                    <w:rPr>
                      <w:rFonts w:asciiTheme="minorHAnsi" w:hAnsiTheme="minorHAnsi" w:cstheme="minorHAnsi"/>
                      <w:iCs/>
                      <w:color w:val="000000"/>
                      <w:lang w:val="fr-FR"/>
                    </w:rPr>
                    <w:t xml:space="preserve"> de l’unité anti-braconnage à hauteur de USD 25,500</w:t>
                  </w:r>
                </w:p>
              </w:tc>
              <w:tc>
                <w:tcPr>
                  <w:tcW w:w="0" w:type="auto"/>
                </w:tcPr>
                <w:p w14:paraId="3F658B7C" w14:textId="6E71D65D" w:rsidR="00AC7D41" w:rsidRPr="00507075" w:rsidRDefault="0051328C" w:rsidP="0051328C">
                  <w:pPr>
                    <w:suppressAutoHyphens/>
                    <w:spacing w:after="120" w:line="240" w:lineRule="auto"/>
                    <w:jc w:val="both"/>
                    <w:rPr>
                      <w:rFonts w:asciiTheme="minorHAnsi" w:hAnsiTheme="minorHAnsi" w:cstheme="minorHAnsi"/>
                      <w:iCs/>
                      <w:color w:val="000000"/>
                      <w:lang w:val="fr-FR"/>
                    </w:rPr>
                  </w:pPr>
                  <w:r w:rsidRPr="00507075">
                    <w:rPr>
                      <w:rFonts w:asciiTheme="minorHAnsi" w:hAnsiTheme="minorHAnsi" w:cstheme="minorHAnsi"/>
                      <w:iCs/>
                      <w:color w:val="000000"/>
                      <w:lang w:val="fr-FR"/>
                    </w:rPr>
                    <w:t>X</w:t>
                  </w:r>
                </w:p>
              </w:tc>
            </w:tr>
            <w:tr w:rsidR="00AC7D41" w:rsidRPr="00507075" w14:paraId="2B2103A7" w14:textId="35A4F382" w:rsidTr="00A87C75">
              <w:tc>
                <w:tcPr>
                  <w:tcW w:w="0" w:type="auto"/>
                </w:tcPr>
                <w:p w14:paraId="084BEB14" w14:textId="1A4E07D8" w:rsidR="00AC7D41" w:rsidRPr="00507075" w:rsidRDefault="00AC7D41" w:rsidP="00AB0495">
                  <w:pPr>
                    <w:suppressAutoHyphens/>
                    <w:spacing w:after="120" w:line="240" w:lineRule="auto"/>
                    <w:jc w:val="both"/>
                    <w:rPr>
                      <w:rFonts w:asciiTheme="minorHAnsi" w:hAnsiTheme="minorHAnsi" w:cstheme="minorHAnsi"/>
                      <w:iCs/>
                      <w:color w:val="000000"/>
                      <w:u w:val="single"/>
                      <w:lang w:val="fr-FR"/>
                    </w:rPr>
                  </w:pPr>
                  <w:r w:rsidRPr="00507075">
                    <w:rPr>
                      <w:rFonts w:asciiTheme="minorHAnsi" w:hAnsiTheme="minorHAnsi" w:cstheme="minorHAnsi"/>
                      <w:b/>
                      <w:bCs/>
                      <w:iCs/>
                      <w:color w:val="000000"/>
                      <w:lang w:val="fr-FR"/>
                    </w:rPr>
                    <w:t>Composante 3. Gestion communautaire des ressources naturelles (GCRN) dans l’habitat des éléphants du Gourma.</w:t>
                  </w:r>
                </w:p>
              </w:tc>
              <w:tc>
                <w:tcPr>
                  <w:tcW w:w="0" w:type="auto"/>
                </w:tcPr>
                <w:p w14:paraId="141E8571" w14:textId="5F561A58" w:rsidR="00AC7D41" w:rsidRPr="00507075" w:rsidRDefault="0051328C" w:rsidP="00AB0495">
                  <w:pPr>
                    <w:suppressAutoHyphens/>
                    <w:spacing w:after="120" w:line="240" w:lineRule="auto"/>
                    <w:jc w:val="both"/>
                    <w:rPr>
                      <w:rFonts w:asciiTheme="minorHAnsi" w:hAnsiTheme="minorHAnsi" w:cstheme="minorHAnsi"/>
                      <w:b/>
                      <w:bCs/>
                      <w:iCs/>
                      <w:color w:val="000000"/>
                      <w:lang w:val="fr-FR"/>
                    </w:rPr>
                  </w:pPr>
                  <w:r w:rsidRPr="00507075">
                    <w:rPr>
                      <w:rFonts w:asciiTheme="minorHAnsi" w:hAnsiTheme="minorHAnsi" w:cstheme="minorHAnsi"/>
                      <w:b/>
                      <w:bCs/>
                      <w:iCs/>
                      <w:color w:val="000000"/>
                      <w:lang w:val="fr-FR"/>
                    </w:rPr>
                    <w:t>X</w:t>
                  </w:r>
                </w:p>
              </w:tc>
            </w:tr>
          </w:tbl>
          <w:p w14:paraId="743BE1E1" w14:textId="77777777" w:rsidR="00AB0495" w:rsidRPr="00507075" w:rsidRDefault="00AB0495" w:rsidP="00D471F3">
            <w:pPr>
              <w:pBdr>
                <w:left w:val="single" w:sz="4" w:space="4" w:color="auto"/>
                <w:right w:val="single" w:sz="4" w:space="4" w:color="auto"/>
              </w:pBdr>
              <w:suppressAutoHyphens/>
              <w:spacing w:after="120" w:line="240" w:lineRule="auto"/>
              <w:contextualSpacing/>
              <w:jc w:val="both"/>
              <w:rPr>
                <w:rFonts w:asciiTheme="minorHAnsi" w:hAnsiTheme="minorHAnsi" w:cstheme="minorHAnsi"/>
                <w:iCs/>
                <w:color w:val="000000"/>
                <w:lang w:val="fr-FR"/>
              </w:rPr>
            </w:pPr>
          </w:p>
          <w:p w14:paraId="6B069758" w14:textId="765D156E" w:rsidR="00D40A83" w:rsidRPr="0070531C" w:rsidRDefault="0070531C" w:rsidP="005A2A29">
            <w:pPr>
              <w:pStyle w:val="Paragraphedeliste"/>
              <w:numPr>
                <w:ilvl w:val="0"/>
                <w:numId w:val="37"/>
              </w:numPr>
              <w:suppressAutoHyphens/>
              <w:spacing w:after="120"/>
              <w:jc w:val="both"/>
              <w:rPr>
                <w:rFonts w:asciiTheme="minorHAnsi" w:eastAsia="Times New Roman" w:hAnsiTheme="minorHAnsi" w:cstheme="minorHAnsi"/>
                <w:b/>
                <w:bCs/>
                <w:lang w:val="fr-FR" w:eastAsia="fr-FR"/>
              </w:rPr>
            </w:pPr>
            <w:r>
              <w:rPr>
                <w:rFonts w:asciiTheme="minorHAnsi" w:eastAsia="Times New Roman" w:hAnsiTheme="minorHAnsi" w:cstheme="minorHAnsi"/>
                <w:b/>
                <w:bCs/>
                <w:lang w:val="fr-FR" w:eastAsia="fr-FR"/>
              </w:rPr>
              <w:t>Sommaire</w:t>
            </w:r>
          </w:p>
          <w:p w14:paraId="621E512C" w14:textId="7647FF9D" w:rsidR="000A07AF" w:rsidRDefault="00756520" w:rsidP="000A07AF">
            <w:pPr>
              <w:suppressAutoHyphens/>
              <w:spacing w:after="120"/>
              <w:jc w:val="both"/>
              <w:rPr>
                <w:rFonts w:asciiTheme="minorHAnsi" w:hAnsiTheme="minorHAnsi" w:cstheme="minorHAnsi"/>
                <w:iCs/>
                <w:color w:val="000000"/>
                <w:lang w:val="fr-FR"/>
              </w:rPr>
            </w:pPr>
            <w:r>
              <w:rPr>
                <w:rFonts w:asciiTheme="minorHAnsi" w:hAnsiTheme="minorHAnsi" w:cstheme="minorHAnsi"/>
                <w:iCs/>
                <w:color w:val="000000"/>
                <w:lang w:val="fr-FR"/>
              </w:rPr>
              <w:t>L’année 2022 a démarré dans un contexte difficile. En effet, d</w:t>
            </w:r>
            <w:r w:rsidR="000A07AF" w:rsidRPr="00507075">
              <w:rPr>
                <w:rFonts w:asciiTheme="minorHAnsi" w:hAnsiTheme="minorHAnsi" w:cstheme="minorHAnsi"/>
                <w:iCs/>
                <w:color w:val="000000"/>
                <w:lang w:val="fr-FR"/>
              </w:rPr>
              <w:t>eux à trois mois après le démarrage effectif des activités communautaires (à la fin du délai de publication des mesures de sauvegarde</w:t>
            </w:r>
            <w:r>
              <w:rPr>
                <w:rFonts w:asciiTheme="minorHAnsi" w:hAnsiTheme="minorHAnsi" w:cstheme="minorHAnsi"/>
                <w:iCs/>
                <w:color w:val="000000"/>
                <w:lang w:val="fr-FR"/>
              </w:rPr>
              <w:t xml:space="preserve"> du PNDU</w:t>
            </w:r>
            <w:r w:rsidR="000A07AF" w:rsidRPr="00507075">
              <w:rPr>
                <w:rFonts w:asciiTheme="minorHAnsi" w:hAnsiTheme="minorHAnsi" w:cstheme="minorHAnsi"/>
                <w:iCs/>
                <w:color w:val="000000"/>
                <w:lang w:val="fr-FR"/>
              </w:rPr>
              <w:t xml:space="preserve"> le 18 octobre 2021), celles-ci ont été interrompues </w:t>
            </w:r>
            <w:proofErr w:type="gramStart"/>
            <w:r w:rsidR="000A07AF" w:rsidRPr="00507075">
              <w:rPr>
                <w:rFonts w:asciiTheme="minorHAnsi" w:hAnsiTheme="minorHAnsi" w:cstheme="minorHAnsi"/>
                <w:iCs/>
                <w:color w:val="000000"/>
                <w:lang w:val="fr-FR"/>
              </w:rPr>
              <w:t>suite aux</w:t>
            </w:r>
            <w:proofErr w:type="gramEnd"/>
            <w:r w:rsidR="000A07AF" w:rsidRPr="00507075">
              <w:rPr>
                <w:rFonts w:asciiTheme="minorHAnsi" w:hAnsiTheme="minorHAnsi" w:cstheme="minorHAnsi"/>
                <w:iCs/>
                <w:color w:val="000000"/>
                <w:lang w:val="fr-FR"/>
              </w:rPr>
              <w:t xml:space="preserve"> sanctions économiques à l’encontre du Mali début 2022</w:t>
            </w:r>
            <w:r w:rsidR="00671CDE">
              <w:rPr>
                <w:rFonts w:asciiTheme="minorHAnsi" w:hAnsiTheme="minorHAnsi" w:cstheme="minorHAnsi"/>
                <w:iCs/>
                <w:color w:val="000000"/>
                <w:lang w:val="fr-FR"/>
              </w:rPr>
              <w:t> ; ceci,</w:t>
            </w:r>
            <w:r w:rsidR="000A07AF" w:rsidRPr="00507075">
              <w:rPr>
                <w:rFonts w:asciiTheme="minorHAnsi" w:hAnsiTheme="minorHAnsi" w:cstheme="minorHAnsi"/>
                <w:iCs/>
                <w:color w:val="000000"/>
                <w:lang w:val="fr-FR"/>
              </w:rPr>
              <w:t> le temps que le projet trouve une solution pour transférer les fonds des</w:t>
            </w:r>
            <w:r w:rsidR="00671CDE">
              <w:rPr>
                <w:rFonts w:asciiTheme="minorHAnsi" w:hAnsiTheme="minorHAnsi" w:cstheme="minorHAnsi"/>
                <w:iCs/>
                <w:color w:val="000000"/>
                <w:lang w:val="fr-FR"/>
              </w:rPr>
              <w:t xml:space="preserve"> comptes de Wild Foundation aux</w:t>
            </w:r>
            <w:r w:rsidR="000A07AF" w:rsidRPr="00507075">
              <w:rPr>
                <w:rFonts w:asciiTheme="minorHAnsi" w:hAnsiTheme="minorHAnsi" w:cstheme="minorHAnsi"/>
                <w:iCs/>
                <w:color w:val="000000"/>
                <w:lang w:val="fr-FR"/>
              </w:rPr>
              <w:t xml:space="preserve"> Etats-Unis vers le Mali.  </w:t>
            </w:r>
            <w:r w:rsidR="00671CDE">
              <w:rPr>
                <w:rFonts w:asciiTheme="minorHAnsi" w:hAnsiTheme="minorHAnsi" w:cstheme="minorHAnsi"/>
                <w:iCs/>
                <w:color w:val="000000"/>
                <w:lang w:val="fr-FR"/>
              </w:rPr>
              <w:t>C</w:t>
            </w:r>
            <w:r w:rsidR="000A07AF" w:rsidRPr="00507075">
              <w:rPr>
                <w:rFonts w:asciiTheme="minorHAnsi" w:hAnsiTheme="minorHAnsi" w:cstheme="minorHAnsi"/>
                <w:iCs/>
                <w:color w:val="000000"/>
                <w:lang w:val="fr-FR"/>
              </w:rPr>
              <w:t>ertain</w:t>
            </w:r>
            <w:r w:rsidR="000A07AF">
              <w:rPr>
                <w:rFonts w:asciiTheme="minorHAnsi" w:hAnsiTheme="minorHAnsi" w:cstheme="minorHAnsi"/>
                <w:iCs/>
                <w:color w:val="000000"/>
                <w:lang w:val="fr-FR"/>
              </w:rPr>
              <w:t>e</w:t>
            </w:r>
            <w:r w:rsidR="000A07AF" w:rsidRPr="00507075">
              <w:rPr>
                <w:rFonts w:asciiTheme="minorHAnsi" w:hAnsiTheme="minorHAnsi" w:cstheme="minorHAnsi"/>
                <w:iCs/>
                <w:color w:val="000000"/>
                <w:lang w:val="fr-FR"/>
              </w:rPr>
              <w:t xml:space="preserve">s activités </w:t>
            </w:r>
            <w:r w:rsidR="00671CDE">
              <w:rPr>
                <w:rFonts w:asciiTheme="minorHAnsi" w:hAnsiTheme="minorHAnsi" w:cstheme="minorHAnsi"/>
                <w:iCs/>
                <w:color w:val="000000"/>
                <w:lang w:val="fr-FR"/>
              </w:rPr>
              <w:t>ont</w:t>
            </w:r>
            <w:r w:rsidR="000A07AF" w:rsidRPr="00507075">
              <w:rPr>
                <w:rFonts w:asciiTheme="minorHAnsi" w:hAnsiTheme="minorHAnsi" w:cstheme="minorHAnsi"/>
                <w:iCs/>
                <w:color w:val="000000"/>
                <w:lang w:val="fr-FR"/>
              </w:rPr>
              <w:t xml:space="preserve"> pu</w:t>
            </w:r>
            <w:r w:rsidR="00671CDE">
              <w:rPr>
                <w:rFonts w:asciiTheme="minorHAnsi" w:hAnsiTheme="minorHAnsi" w:cstheme="minorHAnsi"/>
                <w:iCs/>
                <w:color w:val="000000"/>
                <w:lang w:val="fr-FR"/>
              </w:rPr>
              <w:t>, malgré tout</w:t>
            </w:r>
            <w:r w:rsidR="000A07AF" w:rsidRPr="00507075">
              <w:rPr>
                <w:rFonts w:asciiTheme="minorHAnsi" w:hAnsiTheme="minorHAnsi" w:cstheme="minorHAnsi"/>
                <w:iCs/>
                <w:color w:val="000000"/>
                <w:lang w:val="fr-FR"/>
              </w:rPr>
              <w:t xml:space="preserve"> être mises en œuvre courant janvier et fin mars, </w:t>
            </w:r>
            <w:r w:rsidR="00671CDE">
              <w:rPr>
                <w:rFonts w:asciiTheme="minorHAnsi" w:hAnsiTheme="minorHAnsi" w:cstheme="minorHAnsi"/>
                <w:iCs/>
                <w:color w:val="000000"/>
                <w:lang w:val="fr-FR"/>
              </w:rPr>
              <w:t xml:space="preserve">mais </w:t>
            </w:r>
            <w:r w:rsidR="000A07AF" w:rsidRPr="00507075">
              <w:rPr>
                <w:rFonts w:asciiTheme="minorHAnsi" w:hAnsiTheme="minorHAnsi" w:cstheme="minorHAnsi"/>
                <w:iCs/>
                <w:color w:val="000000"/>
                <w:lang w:val="fr-FR"/>
              </w:rPr>
              <w:t xml:space="preserve">d’autres, comme le financement des AGR, ont été </w:t>
            </w:r>
            <w:r w:rsidR="00671CDE">
              <w:rPr>
                <w:rFonts w:asciiTheme="minorHAnsi" w:hAnsiTheme="minorHAnsi" w:cstheme="minorHAnsi"/>
                <w:iCs/>
                <w:color w:val="000000"/>
                <w:lang w:val="fr-FR"/>
              </w:rPr>
              <w:t>repoussées plus avant</w:t>
            </w:r>
            <w:r w:rsidR="000A07AF" w:rsidRPr="00507075">
              <w:rPr>
                <w:rFonts w:asciiTheme="minorHAnsi" w:hAnsiTheme="minorHAnsi" w:cstheme="minorHAnsi"/>
                <w:iCs/>
                <w:color w:val="000000"/>
                <w:lang w:val="fr-FR"/>
              </w:rPr>
              <w:t>.</w:t>
            </w:r>
          </w:p>
          <w:p w14:paraId="7978D56C" w14:textId="281246F3" w:rsidR="00671CDE" w:rsidRDefault="00671CDE" w:rsidP="00671CDE">
            <w:pPr>
              <w:suppressAutoHyphens/>
              <w:spacing w:after="120"/>
              <w:jc w:val="both"/>
              <w:rPr>
                <w:rFonts w:asciiTheme="minorHAnsi" w:eastAsia="Times New Roman" w:hAnsiTheme="minorHAnsi" w:cstheme="minorHAnsi"/>
                <w:lang w:val="fr-FR" w:eastAsia="fr-FR"/>
              </w:rPr>
            </w:pPr>
            <w:r>
              <w:rPr>
                <w:rFonts w:asciiTheme="minorHAnsi" w:hAnsiTheme="minorHAnsi" w:cstheme="minorHAnsi"/>
                <w:iCs/>
                <w:color w:val="000000"/>
                <w:lang w:val="fr-FR"/>
              </w:rPr>
              <w:t xml:space="preserve">Au niveau de la composante 2, </w:t>
            </w:r>
            <w:r w:rsidRPr="00D001C9">
              <w:rPr>
                <w:rFonts w:asciiTheme="minorHAnsi" w:eastAsia="Times New Roman" w:hAnsiTheme="minorHAnsi" w:cstheme="minorHAnsi"/>
                <w:lang w:val="fr-FR" w:eastAsia="fr-FR"/>
              </w:rPr>
              <w:t xml:space="preserve">la formation des formateurs </w:t>
            </w:r>
            <w:r>
              <w:rPr>
                <w:rFonts w:asciiTheme="minorHAnsi" w:eastAsia="Times New Roman" w:hAnsiTheme="minorHAnsi" w:cstheme="minorHAnsi"/>
                <w:lang w:val="fr-FR" w:eastAsia="fr-FR"/>
              </w:rPr>
              <w:t xml:space="preserve">anti-braconnage était initialement prévue pour </w:t>
            </w:r>
            <w:r w:rsidRPr="00D001C9">
              <w:rPr>
                <w:rFonts w:asciiTheme="minorHAnsi" w:eastAsia="Times New Roman" w:hAnsiTheme="minorHAnsi" w:cstheme="minorHAnsi"/>
                <w:lang w:val="fr-FR" w:eastAsia="fr-FR"/>
              </w:rPr>
              <w:t>novembre 2021</w:t>
            </w:r>
            <w:r>
              <w:rPr>
                <w:rFonts w:asciiTheme="minorHAnsi" w:eastAsia="Times New Roman" w:hAnsiTheme="minorHAnsi" w:cstheme="minorHAnsi"/>
                <w:lang w:val="fr-FR" w:eastAsia="fr-FR"/>
              </w:rPr>
              <w:t>.</w:t>
            </w:r>
            <w:r w:rsidRPr="00D001C9">
              <w:rPr>
                <w:rFonts w:asciiTheme="minorHAnsi" w:eastAsia="Times New Roman" w:hAnsiTheme="minorHAnsi" w:cstheme="minorHAnsi"/>
                <w:lang w:val="fr-FR" w:eastAsia="fr-FR"/>
              </w:rPr>
              <w:t xml:space="preserve"> </w:t>
            </w:r>
            <w:r>
              <w:rPr>
                <w:rFonts w:asciiTheme="minorHAnsi" w:eastAsia="Times New Roman" w:hAnsiTheme="minorHAnsi" w:cstheme="minorHAnsi"/>
                <w:lang w:val="fr-FR" w:eastAsia="fr-FR"/>
              </w:rPr>
              <w:t>Celle-ci a cependant d</w:t>
            </w:r>
            <w:r w:rsidR="008C25BE">
              <w:rPr>
                <w:rFonts w:asciiTheme="minorHAnsi" w:eastAsia="Times New Roman" w:hAnsiTheme="minorHAnsi" w:cstheme="minorHAnsi"/>
                <w:lang w:val="fr-FR" w:eastAsia="fr-FR"/>
              </w:rPr>
              <w:t>û</w:t>
            </w:r>
            <w:r>
              <w:rPr>
                <w:rFonts w:asciiTheme="minorHAnsi" w:eastAsia="Times New Roman" w:hAnsiTheme="minorHAnsi" w:cstheme="minorHAnsi"/>
                <w:lang w:val="fr-FR" w:eastAsia="fr-FR"/>
              </w:rPr>
              <w:t xml:space="preserve"> être repoussée, le temps</w:t>
            </w:r>
            <w:r w:rsidRPr="00D001C9">
              <w:rPr>
                <w:rFonts w:asciiTheme="minorHAnsi" w:eastAsia="Times New Roman" w:hAnsiTheme="minorHAnsi" w:cstheme="minorHAnsi"/>
                <w:lang w:val="fr-FR" w:eastAsia="fr-FR"/>
              </w:rPr>
              <w:t xml:space="preserve"> que la DNEF </w:t>
            </w:r>
            <w:r>
              <w:rPr>
                <w:rFonts w:asciiTheme="minorHAnsi" w:eastAsia="Times New Roman" w:hAnsiTheme="minorHAnsi" w:cstheme="minorHAnsi"/>
                <w:lang w:val="fr-FR" w:eastAsia="fr-FR"/>
              </w:rPr>
              <w:t xml:space="preserve">trouve </w:t>
            </w:r>
            <w:r w:rsidRPr="00D001C9">
              <w:rPr>
                <w:rFonts w:asciiTheme="minorHAnsi" w:eastAsia="Times New Roman" w:hAnsiTheme="minorHAnsi" w:cstheme="minorHAnsi"/>
                <w:lang w:val="fr-FR" w:eastAsia="fr-FR"/>
              </w:rPr>
              <w:t>des stagiaires</w:t>
            </w:r>
            <w:r>
              <w:rPr>
                <w:rFonts w:asciiTheme="minorHAnsi" w:eastAsia="Times New Roman" w:hAnsiTheme="minorHAnsi" w:cstheme="minorHAnsi"/>
                <w:lang w:val="fr-FR" w:eastAsia="fr-FR"/>
              </w:rPr>
              <w:t xml:space="preserve"> et</w:t>
            </w:r>
            <w:r w:rsidRPr="00D001C9">
              <w:rPr>
                <w:rFonts w:asciiTheme="minorHAnsi" w:eastAsia="Times New Roman" w:hAnsiTheme="minorHAnsi" w:cstheme="minorHAnsi"/>
                <w:lang w:val="fr-FR" w:eastAsia="fr-FR"/>
              </w:rPr>
              <w:t xml:space="preserve"> informe</w:t>
            </w:r>
            <w:r w:rsidR="008C25BE">
              <w:rPr>
                <w:rFonts w:asciiTheme="minorHAnsi" w:eastAsia="Times New Roman" w:hAnsiTheme="minorHAnsi" w:cstheme="minorHAnsi"/>
                <w:lang w:val="fr-FR" w:eastAsia="fr-FR"/>
              </w:rPr>
              <w:t xml:space="preserve"> le projet</w:t>
            </w:r>
            <w:r w:rsidRPr="00D001C9">
              <w:rPr>
                <w:rFonts w:asciiTheme="minorHAnsi" w:eastAsia="Times New Roman" w:hAnsiTheme="minorHAnsi" w:cstheme="minorHAnsi"/>
                <w:lang w:val="fr-FR" w:eastAsia="fr-FR"/>
              </w:rPr>
              <w:t xml:space="preserve"> de ses souhaits concernant le nombre de stagiaires </w:t>
            </w:r>
            <w:r>
              <w:rPr>
                <w:rFonts w:asciiTheme="minorHAnsi" w:eastAsia="Times New Roman" w:hAnsiTheme="minorHAnsi" w:cstheme="minorHAnsi"/>
                <w:lang w:val="fr-FR" w:eastAsia="fr-FR"/>
              </w:rPr>
              <w:t xml:space="preserve">à former </w:t>
            </w:r>
            <w:r w:rsidRPr="00D001C9">
              <w:rPr>
                <w:rFonts w:asciiTheme="minorHAnsi" w:eastAsia="Times New Roman" w:hAnsiTheme="minorHAnsi" w:cstheme="minorHAnsi"/>
                <w:lang w:val="fr-FR" w:eastAsia="fr-FR"/>
              </w:rPr>
              <w:t xml:space="preserve">et le calendrier de la formation. </w:t>
            </w:r>
            <w:r>
              <w:rPr>
                <w:rFonts w:asciiTheme="minorHAnsi" w:eastAsia="Times New Roman" w:hAnsiTheme="minorHAnsi" w:cstheme="minorHAnsi"/>
                <w:lang w:val="fr-FR"/>
              </w:rPr>
              <w:t>C</w:t>
            </w:r>
            <w:r w:rsidRPr="00D001C9">
              <w:rPr>
                <w:rFonts w:asciiTheme="minorHAnsi" w:eastAsia="Times New Roman" w:hAnsiTheme="minorHAnsi" w:cstheme="minorHAnsi"/>
                <w:lang w:val="fr-FR" w:eastAsia="fr-FR"/>
              </w:rPr>
              <w:t xml:space="preserve">e n'est qu'en avril 2022 que la situation </w:t>
            </w:r>
            <w:r>
              <w:rPr>
                <w:rFonts w:asciiTheme="minorHAnsi" w:eastAsia="Times New Roman" w:hAnsiTheme="minorHAnsi" w:cstheme="minorHAnsi"/>
                <w:lang w:val="fr-FR" w:eastAsia="fr-FR"/>
              </w:rPr>
              <w:t>s’est débloquée, la</w:t>
            </w:r>
            <w:r w:rsidRPr="00D001C9">
              <w:rPr>
                <w:rFonts w:asciiTheme="minorHAnsi" w:eastAsia="Times New Roman" w:hAnsiTheme="minorHAnsi" w:cstheme="minorHAnsi"/>
                <w:lang w:val="fr-FR" w:eastAsia="fr-FR"/>
              </w:rPr>
              <w:t xml:space="preserve"> nouvelle </w:t>
            </w:r>
            <w:r>
              <w:rPr>
                <w:rFonts w:asciiTheme="minorHAnsi" w:eastAsia="Times New Roman" w:hAnsiTheme="minorHAnsi" w:cstheme="minorHAnsi"/>
                <w:lang w:val="fr-FR" w:eastAsia="fr-FR"/>
              </w:rPr>
              <w:t>D</w:t>
            </w:r>
            <w:r w:rsidRPr="00D001C9">
              <w:rPr>
                <w:rFonts w:asciiTheme="minorHAnsi" w:eastAsia="Times New Roman" w:hAnsiTheme="minorHAnsi" w:cstheme="minorHAnsi"/>
                <w:lang w:val="fr-FR" w:eastAsia="fr-FR"/>
              </w:rPr>
              <w:t xml:space="preserve">irectrice </w:t>
            </w:r>
            <w:r>
              <w:rPr>
                <w:rFonts w:asciiTheme="minorHAnsi" w:eastAsia="Times New Roman" w:hAnsiTheme="minorHAnsi" w:cstheme="minorHAnsi"/>
                <w:lang w:val="fr-FR" w:eastAsia="fr-FR"/>
              </w:rPr>
              <w:t xml:space="preserve">ayant </w:t>
            </w:r>
            <w:r w:rsidRPr="00D001C9">
              <w:rPr>
                <w:rFonts w:asciiTheme="minorHAnsi" w:eastAsia="Times New Roman" w:hAnsiTheme="minorHAnsi" w:cstheme="minorHAnsi"/>
                <w:lang w:val="fr-FR" w:eastAsia="fr-FR"/>
              </w:rPr>
              <w:t>exprimé son souhait que ce</w:t>
            </w:r>
            <w:r>
              <w:rPr>
                <w:rFonts w:asciiTheme="minorHAnsi" w:eastAsia="Times New Roman" w:hAnsiTheme="minorHAnsi" w:cstheme="minorHAnsi"/>
                <w:lang w:val="fr-FR" w:eastAsia="fr-FR"/>
              </w:rPr>
              <w:t>tte</w:t>
            </w:r>
            <w:r w:rsidRPr="00D001C9">
              <w:rPr>
                <w:rFonts w:asciiTheme="minorHAnsi" w:eastAsia="Times New Roman" w:hAnsiTheme="minorHAnsi" w:cstheme="minorHAnsi"/>
                <w:lang w:val="fr-FR" w:eastAsia="fr-FR"/>
              </w:rPr>
              <w:t xml:space="preserve"> activité ai</w:t>
            </w:r>
            <w:r>
              <w:rPr>
                <w:rFonts w:asciiTheme="minorHAnsi" w:eastAsia="Times New Roman" w:hAnsiTheme="minorHAnsi" w:cstheme="minorHAnsi"/>
                <w:lang w:val="fr-FR" w:eastAsia="fr-FR"/>
              </w:rPr>
              <w:t>t</w:t>
            </w:r>
            <w:r w:rsidRPr="00D001C9">
              <w:rPr>
                <w:rFonts w:asciiTheme="minorHAnsi" w:eastAsia="Times New Roman" w:hAnsiTheme="minorHAnsi" w:cstheme="minorHAnsi"/>
                <w:lang w:val="fr-FR" w:eastAsia="fr-FR"/>
              </w:rPr>
              <w:t xml:space="preserve"> lieu. Les dispositions concernant la formation ont ainsi pu être prises et l</w:t>
            </w:r>
            <w:r>
              <w:rPr>
                <w:rFonts w:asciiTheme="minorHAnsi" w:eastAsia="Times New Roman" w:hAnsiTheme="minorHAnsi" w:cstheme="minorHAnsi"/>
                <w:lang w:val="fr-FR" w:eastAsia="fr-FR"/>
              </w:rPr>
              <w:t>a</w:t>
            </w:r>
            <w:r w:rsidRPr="00D001C9">
              <w:rPr>
                <w:rFonts w:asciiTheme="minorHAnsi" w:eastAsia="Times New Roman" w:hAnsiTheme="minorHAnsi" w:cstheme="minorHAnsi"/>
                <w:lang w:val="fr-FR" w:eastAsia="fr-FR"/>
              </w:rPr>
              <w:t xml:space="preserve"> </w:t>
            </w:r>
            <w:r>
              <w:rPr>
                <w:rFonts w:asciiTheme="minorHAnsi" w:eastAsia="Times New Roman" w:hAnsiTheme="minorHAnsi" w:cstheme="minorHAnsi"/>
                <w:lang w:val="fr-FR" w:eastAsia="fr-FR"/>
              </w:rPr>
              <w:t>formation s’est</w:t>
            </w:r>
            <w:r w:rsidRPr="00D001C9">
              <w:rPr>
                <w:rFonts w:asciiTheme="minorHAnsi" w:eastAsia="Times New Roman" w:hAnsiTheme="minorHAnsi" w:cstheme="minorHAnsi"/>
                <w:lang w:val="fr-FR" w:eastAsia="fr-FR"/>
              </w:rPr>
              <w:t xml:space="preserve"> achevé</w:t>
            </w:r>
            <w:r>
              <w:rPr>
                <w:rFonts w:asciiTheme="minorHAnsi" w:eastAsia="Times New Roman" w:hAnsiTheme="minorHAnsi" w:cstheme="minorHAnsi"/>
                <w:lang w:val="fr-FR" w:eastAsia="fr-FR"/>
              </w:rPr>
              <w:t>e</w:t>
            </w:r>
            <w:r w:rsidRPr="00D001C9">
              <w:rPr>
                <w:rFonts w:asciiTheme="minorHAnsi" w:eastAsia="Times New Roman" w:hAnsiTheme="minorHAnsi" w:cstheme="minorHAnsi"/>
                <w:lang w:val="fr-FR" w:eastAsia="fr-FR"/>
              </w:rPr>
              <w:t xml:space="preserve"> le 8 juillet.</w:t>
            </w:r>
          </w:p>
          <w:p w14:paraId="57C2BC39" w14:textId="10CEADEA" w:rsidR="00671CDE" w:rsidRPr="008C25BE" w:rsidRDefault="00671CDE" w:rsidP="008C25BE">
            <w:pPr>
              <w:suppressAutoHyphens/>
              <w:spacing w:after="120"/>
              <w:jc w:val="both"/>
              <w:rPr>
                <w:rFonts w:asciiTheme="minorHAnsi" w:eastAsia="Times New Roman" w:hAnsiTheme="minorHAnsi" w:cstheme="minorHAnsi"/>
                <w:lang w:val="fr-FR" w:eastAsia="fr-FR"/>
              </w:rPr>
            </w:pPr>
            <w:r>
              <w:rPr>
                <w:rFonts w:asciiTheme="minorHAnsi" w:eastAsia="Times New Roman" w:hAnsiTheme="minorHAnsi" w:cstheme="minorHAnsi"/>
                <w:lang w:val="fr-FR" w:eastAsia="fr-FR"/>
              </w:rPr>
              <w:t xml:space="preserve">L’activité principale réalisée au niveau de la </w:t>
            </w:r>
            <w:r w:rsidR="008C25BE" w:rsidRPr="00D40A83">
              <w:rPr>
                <w:rFonts w:asciiTheme="minorHAnsi" w:eastAsia="Times New Roman" w:hAnsiTheme="minorHAnsi" w:cstheme="minorHAnsi"/>
                <w:b/>
                <w:bCs/>
                <w:i/>
                <w:iCs/>
                <w:lang w:val="fr-FR" w:eastAsia="fr-FR"/>
              </w:rPr>
              <w:t>Composante 2</w:t>
            </w:r>
            <w:r w:rsidR="008C25BE">
              <w:rPr>
                <w:rFonts w:asciiTheme="minorHAnsi" w:eastAsia="Times New Roman" w:hAnsiTheme="minorHAnsi" w:cstheme="minorHAnsi"/>
                <w:b/>
                <w:bCs/>
                <w:i/>
                <w:iCs/>
                <w:lang w:val="fr-FR" w:eastAsia="fr-FR"/>
              </w:rPr>
              <w:t xml:space="preserve"> </w:t>
            </w:r>
            <w:r w:rsidR="008C25BE" w:rsidRPr="0070531C">
              <w:rPr>
                <w:rFonts w:asciiTheme="minorHAnsi" w:eastAsia="Times New Roman" w:hAnsiTheme="minorHAnsi" w:cstheme="minorHAnsi"/>
                <w:b/>
                <w:bCs/>
                <w:i/>
                <w:iCs/>
                <w:lang w:val="fr-FR" w:eastAsia="fr-FR"/>
              </w:rPr>
              <w:t>Protéger les éléphants du Gourma contre le braconnage et sécuriser les voies migratoires saisonnières et les habitats clés</w:t>
            </w:r>
            <w:r w:rsidR="008C25BE">
              <w:rPr>
                <w:rFonts w:asciiTheme="minorHAnsi" w:eastAsia="Times New Roman" w:hAnsiTheme="minorHAnsi" w:cstheme="minorHAnsi"/>
                <w:b/>
                <w:bCs/>
                <w:i/>
                <w:iCs/>
                <w:lang w:val="fr-FR" w:eastAsia="fr-FR"/>
              </w:rPr>
              <w:t xml:space="preserve"> </w:t>
            </w:r>
            <w:r>
              <w:rPr>
                <w:rFonts w:asciiTheme="minorHAnsi" w:eastAsia="Times New Roman" w:hAnsiTheme="minorHAnsi" w:cstheme="minorHAnsi"/>
                <w:lang w:val="fr-FR" w:eastAsia="fr-FR"/>
              </w:rPr>
              <w:t>a été la formation des formateurs anti-braconnage</w:t>
            </w:r>
            <w:r w:rsidR="008C25BE">
              <w:rPr>
                <w:rFonts w:asciiTheme="minorHAnsi" w:eastAsia="Times New Roman" w:hAnsiTheme="minorHAnsi" w:cstheme="minorHAnsi"/>
                <w:lang w:val="fr-FR" w:eastAsia="fr-FR"/>
              </w:rPr>
              <w:t>. Celle-ci a démarré</w:t>
            </w:r>
            <w:r w:rsidR="008C25BE" w:rsidRPr="0070531C">
              <w:rPr>
                <w:rFonts w:eastAsia="Times New Roman" w:cstheme="minorHAnsi"/>
                <w:lang w:val="fr-FR"/>
              </w:rPr>
              <w:t xml:space="preserve"> le 9 mai, pour une durée de de 8 semaine</w:t>
            </w:r>
            <w:r w:rsidR="008C25BE">
              <w:rPr>
                <w:rFonts w:eastAsia="Times New Roman" w:cstheme="minorHAnsi"/>
                <w:lang w:val="fr-FR"/>
              </w:rPr>
              <w:t xml:space="preserve">s, et s’est achevé le 7 juillet avec une remise des certificats aux 20 nouveaux formateurs maliens. </w:t>
            </w:r>
            <w:r w:rsidR="008C25BE" w:rsidRPr="00905A69">
              <w:rPr>
                <w:rFonts w:asciiTheme="minorHAnsi" w:hAnsiTheme="minorHAnsi" w:cstheme="minorHAnsi"/>
                <w:color w:val="000000" w:themeColor="text1"/>
                <w:lang w:val="fr-FR" w:bidi="fr-FR"/>
              </w:rPr>
              <w:t xml:space="preserve">Cette activité </w:t>
            </w:r>
            <w:r w:rsidR="008C25BE">
              <w:rPr>
                <w:rFonts w:asciiTheme="minorHAnsi" w:hAnsiTheme="minorHAnsi" w:cstheme="minorHAnsi"/>
                <w:color w:val="000000" w:themeColor="text1"/>
                <w:lang w:val="fr-FR" w:bidi="fr-FR"/>
              </w:rPr>
              <w:t>est venue finaliser le</w:t>
            </w:r>
            <w:r w:rsidR="008C25BE" w:rsidRPr="00905A69">
              <w:rPr>
                <w:rFonts w:asciiTheme="minorHAnsi" w:hAnsiTheme="minorHAnsi" w:cstheme="minorHAnsi"/>
                <w:color w:val="000000" w:themeColor="text1"/>
                <w:lang w:val="fr-FR" w:bidi="fr-FR"/>
              </w:rPr>
              <w:t xml:space="preserve"> processus de transition impliquant le transfert des responsabilités pour la gestion financière et technique de l’unité anti-braconnage au gouvernement malien.</w:t>
            </w:r>
          </w:p>
          <w:p w14:paraId="71AD61F0" w14:textId="1D1BC63A" w:rsidR="008C25BE" w:rsidRDefault="008C25BE" w:rsidP="008C25BE">
            <w:pPr>
              <w:pStyle w:val="Sansinterligne"/>
              <w:spacing w:before="120" w:after="120"/>
              <w:contextualSpacing/>
              <w:jc w:val="both"/>
              <w:rPr>
                <w:rFonts w:eastAsia="Times New Roman" w:cstheme="minorHAnsi"/>
                <w:lang w:val="fr-FR" w:eastAsia="fr-FR"/>
              </w:rPr>
            </w:pPr>
            <w:r w:rsidRPr="008C25BE">
              <w:rPr>
                <w:rFonts w:eastAsia="Times New Roman" w:cstheme="minorHAnsi"/>
                <w:lang w:val="fr-FR" w:eastAsia="fr-FR"/>
              </w:rPr>
              <w:t xml:space="preserve">Les activités principales réalisées au niveau de la </w:t>
            </w:r>
            <w:r w:rsidR="000A07AF" w:rsidRPr="008C25BE">
              <w:rPr>
                <w:rFonts w:eastAsia="Times New Roman" w:cstheme="minorHAnsi"/>
                <w:b/>
                <w:bCs/>
                <w:i/>
                <w:iCs/>
                <w:lang w:val="fr-FR" w:eastAsia="fr-FR"/>
              </w:rPr>
              <w:t>Composante 3 Gestion communautaire des ressources naturelles (GCRN) dans l’habitat des éléphants du Gourma</w:t>
            </w:r>
            <w:r w:rsidRPr="008C25BE">
              <w:rPr>
                <w:rFonts w:eastAsia="Times New Roman" w:cstheme="minorHAnsi"/>
                <w:lang w:val="fr-FR" w:eastAsia="fr-FR"/>
              </w:rPr>
              <w:t xml:space="preserve"> ont concerné</w:t>
            </w:r>
            <w:r>
              <w:rPr>
                <w:rFonts w:eastAsia="Times New Roman" w:cstheme="minorHAnsi"/>
                <w:lang w:val="fr-FR" w:eastAsia="fr-FR"/>
              </w:rPr>
              <w:t> :</w:t>
            </w:r>
          </w:p>
          <w:p w14:paraId="69749084" w14:textId="7AE19733" w:rsidR="005A2A29" w:rsidRDefault="005A2A29" w:rsidP="005A2A29">
            <w:pPr>
              <w:pStyle w:val="Sansinterligne"/>
              <w:numPr>
                <w:ilvl w:val="0"/>
                <w:numId w:val="37"/>
              </w:numPr>
              <w:spacing w:before="120" w:after="120"/>
              <w:contextualSpacing/>
              <w:jc w:val="both"/>
              <w:rPr>
                <w:rFonts w:cstheme="minorHAnsi"/>
                <w:color w:val="000000"/>
                <w:lang w:val="fr-FR"/>
              </w:rPr>
            </w:pPr>
            <w:r>
              <w:rPr>
                <w:rFonts w:eastAsia="Times New Roman" w:cstheme="minorHAnsi"/>
                <w:lang w:val="fr-FR" w:eastAsia="fr-FR"/>
              </w:rPr>
              <w:t>L</w:t>
            </w:r>
            <w:r w:rsidR="008C25BE" w:rsidRPr="008C25BE">
              <w:rPr>
                <w:rFonts w:eastAsia="Times New Roman" w:cstheme="minorHAnsi"/>
                <w:lang w:val="fr-FR" w:eastAsia="fr-FR"/>
              </w:rPr>
              <w:t xml:space="preserve">’élaboration de 12 nouvelles conventions </w:t>
            </w:r>
            <w:r w:rsidR="008C25BE">
              <w:rPr>
                <w:rFonts w:eastAsia="Times New Roman" w:cstheme="minorHAnsi"/>
                <w:lang w:val="fr-FR" w:eastAsia="fr-FR"/>
              </w:rPr>
              <w:t xml:space="preserve">dont 7 conventions communales et intercommunales de GRN, 5 conventions communales et intercommunales </w:t>
            </w:r>
            <w:r w:rsidR="008C25BE" w:rsidRPr="000A07AF">
              <w:rPr>
                <w:rFonts w:cstheme="minorHAnsi"/>
                <w:color w:val="000000"/>
                <w:lang w:val="fr-FR"/>
              </w:rPr>
              <w:t xml:space="preserve">qui respectent et renforcent la zonation et l’application de la </w:t>
            </w:r>
            <w:r w:rsidR="008C25BE" w:rsidRPr="000A07AF">
              <w:rPr>
                <w:rFonts w:cstheme="minorHAnsi"/>
                <w:color w:val="000000"/>
                <w:lang w:val="fr-FR"/>
              </w:rPr>
              <w:lastRenderedPageBreak/>
              <w:t>législation relative à la zone centrale de la Réserver de biosphère du Gourma</w:t>
            </w:r>
            <w:r>
              <w:rPr>
                <w:rFonts w:cstheme="minorHAnsi"/>
                <w:color w:val="000000"/>
                <w:lang w:val="fr-FR"/>
              </w:rPr>
              <w:t>.</w:t>
            </w:r>
          </w:p>
          <w:p w14:paraId="5BA1A40B" w14:textId="754A2005" w:rsidR="005A2A29" w:rsidRPr="005A2A29" w:rsidRDefault="005A2A29" w:rsidP="005A2A29">
            <w:pPr>
              <w:pStyle w:val="Sansinterligne"/>
              <w:numPr>
                <w:ilvl w:val="0"/>
                <w:numId w:val="37"/>
              </w:numPr>
              <w:spacing w:before="120" w:after="120"/>
              <w:contextualSpacing/>
              <w:jc w:val="both"/>
              <w:rPr>
                <w:rFonts w:cstheme="minorHAnsi"/>
                <w:color w:val="000000"/>
                <w:lang w:val="fr-FR"/>
              </w:rPr>
            </w:pPr>
            <w:r>
              <w:rPr>
                <w:rFonts w:cstheme="minorHAnsi"/>
                <w:lang w:val="fr-FR"/>
              </w:rPr>
              <w:t>La</w:t>
            </w:r>
            <w:r w:rsidRPr="005A2A29">
              <w:rPr>
                <w:rFonts w:eastAsia="Times New Roman" w:cstheme="minorHAnsi"/>
                <w:lang w:val="fr-FR" w:eastAsia="fr-FR"/>
              </w:rPr>
              <w:t xml:space="preserve"> mise en place </w:t>
            </w:r>
            <w:r>
              <w:rPr>
                <w:rFonts w:eastAsia="Times New Roman" w:cstheme="minorHAnsi"/>
                <w:lang w:val="fr-FR" w:eastAsia="fr-FR"/>
              </w:rPr>
              <w:t xml:space="preserve">et la formation </w:t>
            </w:r>
            <w:r w:rsidRPr="005A2A29">
              <w:rPr>
                <w:rFonts w:eastAsia="Times New Roman" w:cstheme="minorHAnsi"/>
                <w:lang w:val="fr-FR" w:eastAsia="fr-FR"/>
              </w:rPr>
              <w:t>de structures pour assurer le suivi et la mise en œuvre de</w:t>
            </w:r>
            <w:r>
              <w:rPr>
                <w:rFonts w:eastAsia="Times New Roman" w:cstheme="minorHAnsi"/>
                <w:lang w:val="fr-FR" w:eastAsia="fr-FR"/>
              </w:rPr>
              <w:t xml:space="preserve"> ces</w:t>
            </w:r>
            <w:r w:rsidRPr="005A2A29">
              <w:rPr>
                <w:rFonts w:eastAsia="Times New Roman" w:cstheme="minorHAnsi"/>
                <w:lang w:val="fr-FR" w:eastAsia="fr-FR"/>
              </w:rPr>
              <w:t xml:space="preserve"> conventions</w:t>
            </w:r>
            <w:r>
              <w:rPr>
                <w:rFonts w:eastAsia="Times New Roman" w:cstheme="minorHAnsi"/>
                <w:lang w:val="fr-FR" w:eastAsia="fr-FR"/>
              </w:rPr>
              <w:t>.</w:t>
            </w:r>
          </w:p>
          <w:p w14:paraId="0AF4595C" w14:textId="0D913653" w:rsidR="005A2A29" w:rsidRPr="005A2A29" w:rsidRDefault="005A2A29" w:rsidP="005A2A29">
            <w:pPr>
              <w:pStyle w:val="Sansinterligne"/>
              <w:numPr>
                <w:ilvl w:val="0"/>
                <w:numId w:val="37"/>
              </w:numPr>
              <w:spacing w:before="120" w:after="120"/>
              <w:contextualSpacing/>
              <w:jc w:val="both"/>
              <w:rPr>
                <w:rFonts w:cstheme="minorHAnsi"/>
                <w:color w:val="000000"/>
                <w:lang w:val="fr-FR"/>
              </w:rPr>
            </w:pPr>
            <w:r>
              <w:rPr>
                <w:rFonts w:eastAsia="Times New Roman" w:cstheme="minorHAnsi"/>
                <w:lang w:val="fr-FR" w:eastAsia="fr-FR"/>
              </w:rPr>
              <w:t>La</w:t>
            </w:r>
            <w:r w:rsidRPr="005A2A29">
              <w:rPr>
                <w:rFonts w:cstheme="minorHAnsi"/>
                <w:color w:val="000000"/>
                <w:lang w:val="fr-FR"/>
              </w:rPr>
              <w:t xml:space="preserve"> diffusion du contenu des conventions </w:t>
            </w:r>
            <w:r>
              <w:rPr>
                <w:rFonts w:cstheme="minorHAnsi"/>
                <w:color w:val="000000"/>
                <w:lang w:val="fr-FR"/>
              </w:rPr>
              <w:t>sur</w:t>
            </w:r>
            <w:r w:rsidRPr="005A2A29">
              <w:rPr>
                <w:rFonts w:cstheme="minorHAnsi"/>
                <w:color w:val="000000"/>
                <w:lang w:val="fr-FR"/>
              </w:rPr>
              <w:t xml:space="preserve"> les radios locales</w:t>
            </w:r>
            <w:r>
              <w:rPr>
                <w:rFonts w:cstheme="minorHAnsi"/>
                <w:color w:val="000000"/>
                <w:lang w:val="fr-FR"/>
              </w:rPr>
              <w:t>.</w:t>
            </w:r>
          </w:p>
          <w:p w14:paraId="370BBBE4" w14:textId="1CEF9D54" w:rsidR="008C25BE" w:rsidRPr="005A2A29" w:rsidRDefault="008C25BE" w:rsidP="005A2A29">
            <w:pPr>
              <w:pStyle w:val="Sansinterligne"/>
              <w:numPr>
                <w:ilvl w:val="0"/>
                <w:numId w:val="37"/>
              </w:numPr>
              <w:spacing w:before="120" w:after="120"/>
              <w:contextualSpacing/>
              <w:jc w:val="both"/>
              <w:rPr>
                <w:rFonts w:cstheme="minorHAnsi"/>
                <w:color w:val="000000"/>
                <w:lang w:val="fr-FR"/>
              </w:rPr>
            </w:pPr>
            <w:r>
              <w:rPr>
                <w:rFonts w:eastAsia="Times New Roman" w:cstheme="minorHAnsi"/>
                <w:lang w:val="fr-FR" w:eastAsia="fr-FR"/>
              </w:rPr>
              <w:t xml:space="preserve">Le </w:t>
            </w:r>
            <w:r w:rsidR="005A2A29">
              <w:rPr>
                <w:rFonts w:eastAsia="Times New Roman" w:cstheme="minorHAnsi"/>
                <w:lang w:val="fr-FR" w:eastAsia="fr-FR"/>
              </w:rPr>
              <w:t>financement</w:t>
            </w:r>
            <w:r>
              <w:rPr>
                <w:rFonts w:eastAsia="Times New Roman" w:cstheme="minorHAnsi"/>
                <w:lang w:val="fr-FR" w:eastAsia="fr-FR"/>
              </w:rPr>
              <w:t xml:space="preserve"> de </w:t>
            </w:r>
            <w:r w:rsidR="005A2A29">
              <w:rPr>
                <w:rFonts w:eastAsia="Times New Roman" w:cstheme="minorHAnsi"/>
                <w:lang w:val="fr-FR" w:eastAsia="fr-FR"/>
              </w:rPr>
              <w:t>21 nouveaux micro-projets</w:t>
            </w:r>
            <w:r>
              <w:rPr>
                <w:rFonts w:eastAsia="Times New Roman" w:cstheme="minorHAnsi"/>
                <w:lang w:val="fr-FR" w:eastAsia="fr-FR"/>
              </w:rPr>
              <w:t xml:space="preserve"> de GRN et </w:t>
            </w:r>
            <w:r w:rsidR="005A2A29">
              <w:rPr>
                <w:rFonts w:eastAsia="Times New Roman" w:cstheme="minorHAnsi"/>
                <w:lang w:val="fr-FR" w:eastAsia="fr-FR"/>
              </w:rPr>
              <w:t xml:space="preserve">86 micro-projets </w:t>
            </w:r>
            <w:r>
              <w:rPr>
                <w:rFonts w:eastAsia="Times New Roman" w:cstheme="minorHAnsi"/>
                <w:lang w:val="fr-FR" w:eastAsia="fr-FR"/>
              </w:rPr>
              <w:t>AGR</w:t>
            </w:r>
            <w:r w:rsidR="005A2A29">
              <w:rPr>
                <w:rFonts w:eastAsia="Times New Roman" w:cstheme="minorHAnsi"/>
                <w:lang w:val="fr-FR" w:eastAsia="fr-FR"/>
              </w:rPr>
              <w:t>.</w:t>
            </w:r>
          </w:p>
          <w:p w14:paraId="3E3220C7" w14:textId="5F7FA5FC" w:rsidR="000A07AF" w:rsidRDefault="005A2A29" w:rsidP="005A2A29">
            <w:pPr>
              <w:pStyle w:val="Sansinterligne"/>
              <w:numPr>
                <w:ilvl w:val="0"/>
                <w:numId w:val="37"/>
              </w:numPr>
              <w:spacing w:before="120" w:after="120"/>
              <w:contextualSpacing/>
              <w:jc w:val="both"/>
              <w:rPr>
                <w:rFonts w:cstheme="minorHAnsi"/>
                <w:color w:val="000000"/>
                <w:lang w:val="fr-FR"/>
              </w:rPr>
            </w:pPr>
            <w:r>
              <w:rPr>
                <w:rFonts w:cstheme="minorHAnsi"/>
                <w:color w:val="000000"/>
                <w:lang w:val="fr-FR"/>
              </w:rPr>
              <w:t xml:space="preserve">L’appui aux communautés organisées </w:t>
            </w:r>
            <w:r w:rsidR="000A07AF" w:rsidRPr="005A2A29">
              <w:rPr>
                <w:rFonts w:cstheme="minorHAnsi"/>
                <w:color w:val="000000"/>
                <w:lang w:val="fr-FR"/>
              </w:rPr>
              <w:t>pour la réalisation des pare feu de protection des ressources naturelles et pastorales</w:t>
            </w:r>
            <w:r>
              <w:rPr>
                <w:rFonts w:cstheme="minorHAnsi"/>
                <w:color w:val="000000"/>
                <w:lang w:val="fr-FR"/>
              </w:rPr>
              <w:t xml:space="preserve"> dans la zone de transition de la Réserve.</w:t>
            </w:r>
          </w:p>
          <w:p w14:paraId="47E2A868" w14:textId="7958CCC6" w:rsidR="000A07AF" w:rsidRPr="005A2A29" w:rsidRDefault="005A2A29" w:rsidP="005A2A29">
            <w:pPr>
              <w:pStyle w:val="Sansinterligne"/>
              <w:numPr>
                <w:ilvl w:val="0"/>
                <w:numId w:val="37"/>
              </w:numPr>
              <w:spacing w:before="120" w:after="120"/>
              <w:contextualSpacing/>
              <w:jc w:val="both"/>
              <w:rPr>
                <w:rFonts w:cstheme="minorHAnsi"/>
                <w:color w:val="000000"/>
                <w:lang w:val="fr-FR"/>
              </w:rPr>
            </w:pPr>
            <w:r>
              <w:rPr>
                <w:rFonts w:cstheme="minorHAnsi"/>
                <w:color w:val="000000"/>
                <w:lang w:val="fr-FR"/>
              </w:rPr>
              <w:t>La sensibilisation continue des acteurs à tous les niveaux pour garantir leur engagement et leur soutien aux objectifs du projet.</w:t>
            </w:r>
          </w:p>
          <w:p w14:paraId="3BD6D84D" w14:textId="6F852F33" w:rsidR="00C12990" w:rsidRPr="005A2A29" w:rsidRDefault="000A07AF" w:rsidP="005A2A29">
            <w:pPr>
              <w:pStyle w:val="Sansinterligne"/>
              <w:numPr>
                <w:ilvl w:val="0"/>
                <w:numId w:val="37"/>
              </w:numPr>
              <w:spacing w:before="120" w:after="120"/>
              <w:contextualSpacing/>
              <w:jc w:val="both"/>
              <w:rPr>
                <w:rFonts w:cstheme="minorHAnsi"/>
                <w:color w:val="000000"/>
                <w:lang w:val="fr-FR"/>
              </w:rPr>
            </w:pPr>
            <w:r w:rsidRPr="008C25BE">
              <w:rPr>
                <w:rFonts w:cstheme="minorHAnsi"/>
                <w:color w:val="000000"/>
                <w:lang w:val="fr-FR"/>
              </w:rPr>
              <w:t>La formation</w:t>
            </w:r>
            <w:r w:rsidR="005A2A29">
              <w:rPr>
                <w:rFonts w:cstheme="minorHAnsi"/>
                <w:color w:val="000000"/>
                <w:lang w:val="fr-FR"/>
              </w:rPr>
              <w:t xml:space="preserve"> des communautés</w:t>
            </w:r>
            <w:r w:rsidRPr="008C25BE">
              <w:rPr>
                <w:rFonts w:cstheme="minorHAnsi"/>
                <w:color w:val="000000"/>
                <w:lang w:val="fr-FR"/>
              </w:rPr>
              <w:t xml:space="preserve"> </w:t>
            </w:r>
            <w:r w:rsidR="005A2A29">
              <w:rPr>
                <w:rFonts w:cstheme="minorHAnsi"/>
                <w:color w:val="000000"/>
                <w:lang w:val="fr-FR"/>
              </w:rPr>
              <w:t xml:space="preserve">cibles </w:t>
            </w:r>
            <w:r w:rsidRPr="008C25BE">
              <w:rPr>
                <w:rFonts w:cstheme="minorHAnsi"/>
                <w:color w:val="000000"/>
                <w:lang w:val="fr-FR"/>
              </w:rPr>
              <w:t>sur les conflits H/E et les techniques de gestion des feux de brousse</w:t>
            </w:r>
            <w:r w:rsidR="005A2A29">
              <w:rPr>
                <w:rFonts w:cstheme="minorHAnsi"/>
                <w:color w:val="000000"/>
                <w:lang w:val="fr-FR"/>
              </w:rPr>
              <w:t>.</w:t>
            </w:r>
          </w:p>
        </w:tc>
      </w:tr>
    </w:tbl>
    <w:p w14:paraId="5285905F" w14:textId="77777777" w:rsidR="00CC13BC" w:rsidRPr="00376BEA" w:rsidRDefault="00CC13BC" w:rsidP="00EC22AD">
      <w:pPr>
        <w:rPr>
          <w:rFonts w:cs="Times New Roman"/>
          <w:color w:val="76923C"/>
          <w:lang w:val="fr-FR"/>
        </w:rPr>
      </w:pPr>
    </w:p>
    <w:p w14:paraId="690076AF" w14:textId="77777777" w:rsidR="00D1721E" w:rsidRPr="00376BEA" w:rsidRDefault="00D1721E" w:rsidP="0070720F">
      <w:pPr>
        <w:rPr>
          <w:color w:val="000000"/>
          <w:lang w:val="fr-FR"/>
        </w:rPr>
        <w:sectPr w:rsidR="00D1721E" w:rsidRPr="00376BEA" w:rsidSect="00D1721E">
          <w:footerReference w:type="default" r:id="rId12"/>
          <w:pgSz w:w="12240" w:h="15840"/>
          <w:pgMar w:top="1440" w:right="1440" w:bottom="1440" w:left="1440" w:header="706" w:footer="706" w:gutter="0"/>
          <w:cols w:space="708"/>
          <w:docGrid w:linePitch="360"/>
        </w:sectPr>
      </w:pPr>
    </w:p>
    <w:tbl>
      <w:tblPr>
        <w:tblW w:w="14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700"/>
        <w:gridCol w:w="1842"/>
        <w:gridCol w:w="1135"/>
        <w:gridCol w:w="37"/>
        <w:gridCol w:w="2151"/>
        <w:gridCol w:w="3542"/>
        <w:gridCol w:w="3055"/>
      </w:tblGrid>
      <w:tr w:rsidR="00C1364E" w:rsidRPr="00B12AE6" w14:paraId="608F0A81" w14:textId="77777777" w:rsidTr="00A83512">
        <w:trPr>
          <w:tblHeader/>
          <w:jc w:val="center"/>
        </w:trPr>
        <w:tc>
          <w:tcPr>
            <w:tcW w:w="14738" w:type="dxa"/>
            <w:gridSpan w:val="8"/>
            <w:tcBorders>
              <w:bottom w:val="single" w:sz="4" w:space="0" w:color="auto"/>
            </w:tcBorders>
            <w:shd w:val="clear" w:color="auto" w:fill="BDD6EE"/>
          </w:tcPr>
          <w:p w14:paraId="39B22D75" w14:textId="77777777" w:rsidR="00C1364E" w:rsidRPr="00135BB1" w:rsidRDefault="00C1364E" w:rsidP="00C1364E">
            <w:pPr>
              <w:numPr>
                <w:ilvl w:val="0"/>
                <w:numId w:val="2"/>
              </w:numPr>
              <w:spacing w:after="0" w:line="240" w:lineRule="auto"/>
              <w:rPr>
                <w:b/>
                <w:sz w:val="24"/>
                <w:szCs w:val="24"/>
                <w:lang w:val="fr-FR"/>
              </w:rPr>
            </w:pPr>
            <w:r w:rsidRPr="00135BB1">
              <w:rPr>
                <w:b/>
                <w:sz w:val="24"/>
                <w:szCs w:val="24"/>
                <w:lang w:val="fr-FR"/>
              </w:rPr>
              <w:lastRenderedPageBreak/>
              <w:t xml:space="preserve">Rapports sur les résultats obtenus </w:t>
            </w:r>
          </w:p>
          <w:p w14:paraId="0386AC5C" w14:textId="77777777" w:rsidR="00C1364E" w:rsidRPr="00135BB1" w:rsidRDefault="00C1364E" w:rsidP="00A83512">
            <w:pPr>
              <w:spacing w:after="0" w:line="240" w:lineRule="auto"/>
              <w:rPr>
                <w:b/>
                <w:sz w:val="24"/>
                <w:szCs w:val="24"/>
                <w:lang w:val="fr-FR"/>
              </w:rPr>
            </w:pPr>
            <w:r w:rsidRPr="00135BB1">
              <w:rPr>
                <w:i/>
                <w:lang w:val="fr-FR"/>
              </w:rPr>
              <w:t>Le tableau ci-dessous donne un aperçu des résultats obtenus au cours de la période considérée et cumulativement depuis le début du programme</w:t>
            </w:r>
            <w:r>
              <w:rPr>
                <w:i/>
                <w:lang w:val="fr-FR"/>
              </w:rPr>
              <w:t xml:space="preserve"> </w:t>
            </w:r>
            <w:r w:rsidRPr="0098226C">
              <w:rPr>
                <w:b/>
                <w:bCs/>
                <w:i/>
                <w:color w:val="FF0000"/>
                <w:lang w:val="fr-FR"/>
              </w:rPr>
              <w:t>pour les indicateurs sous la responsabilité du PEM.</w:t>
            </w:r>
          </w:p>
        </w:tc>
      </w:tr>
      <w:tr w:rsidR="00C1364E" w:rsidRPr="00B12AE6" w14:paraId="5C3C679D" w14:textId="77777777" w:rsidTr="00C1364E">
        <w:trPr>
          <w:tblHeader/>
          <w:jc w:val="center"/>
        </w:trPr>
        <w:tc>
          <w:tcPr>
            <w:tcW w:w="1276" w:type="dxa"/>
            <w:tcBorders>
              <w:bottom w:val="single" w:sz="4" w:space="0" w:color="auto"/>
            </w:tcBorders>
            <w:shd w:val="clear" w:color="auto" w:fill="BDD6EE"/>
          </w:tcPr>
          <w:p w14:paraId="6A92E2D5" w14:textId="77777777" w:rsidR="00C1364E" w:rsidRPr="00135BB1" w:rsidRDefault="00C1364E" w:rsidP="00A83512">
            <w:pPr>
              <w:spacing w:after="0" w:line="240" w:lineRule="auto"/>
              <w:rPr>
                <w:b/>
                <w:i/>
                <w:lang w:val="fr-FR"/>
              </w:rPr>
            </w:pPr>
            <w:r w:rsidRPr="00135BB1">
              <w:rPr>
                <w:b/>
                <w:i/>
                <w:lang w:val="fr-FR"/>
              </w:rPr>
              <w:t>Objectif du projet</w:t>
            </w:r>
          </w:p>
        </w:tc>
        <w:tc>
          <w:tcPr>
            <w:tcW w:w="1700" w:type="dxa"/>
            <w:tcBorders>
              <w:bottom w:val="single" w:sz="4" w:space="0" w:color="auto"/>
            </w:tcBorders>
            <w:shd w:val="clear" w:color="auto" w:fill="BDD6EE"/>
          </w:tcPr>
          <w:p w14:paraId="2014FBC5" w14:textId="77777777" w:rsidR="00C1364E" w:rsidRPr="00135BB1" w:rsidRDefault="00C1364E" w:rsidP="00A83512">
            <w:pPr>
              <w:spacing w:after="0" w:line="240" w:lineRule="auto"/>
              <w:rPr>
                <w:b/>
                <w:i/>
                <w:lang w:val="fr-FR"/>
              </w:rPr>
            </w:pPr>
            <w:r w:rsidRPr="00135BB1">
              <w:rPr>
                <w:b/>
                <w:i/>
                <w:lang w:val="fr-FR"/>
              </w:rPr>
              <w:t>Indicateur(s)</w:t>
            </w:r>
            <w:r w:rsidRPr="00135BB1">
              <w:rPr>
                <w:rStyle w:val="Appelnotedebasdep"/>
                <w:b/>
                <w:i/>
                <w:lang w:val="fr-FR"/>
              </w:rPr>
              <w:footnoteReference w:id="1"/>
            </w:r>
            <w:r w:rsidRPr="00135BB1">
              <w:rPr>
                <w:b/>
                <w:i/>
                <w:lang w:val="fr-FR"/>
              </w:rPr>
              <w:t xml:space="preserve"> </w:t>
            </w:r>
          </w:p>
          <w:p w14:paraId="600B67BE" w14:textId="77777777" w:rsidR="00C1364E" w:rsidRPr="00135BB1" w:rsidRDefault="00C1364E" w:rsidP="00A83512">
            <w:pPr>
              <w:spacing w:after="0" w:line="240" w:lineRule="auto"/>
              <w:rPr>
                <w:b/>
                <w:i/>
                <w:lang w:val="fr-FR"/>
              </w:rPr>
            </w:pPr>
          </w:p>
        </w:tc>
        <w:tc>
          <w:tcPr>
            <w:tcW w:w="1842" w:type="dxa"/>
            <w:tcBorders>
              <w:bottom w:val="single" w:sz="4" w:space="0" w:color="auto"/>
            </w:tcBorders>
            <w:shd w:val="clear" w:color="auto" w:fill="BDD6EE"/>
          </w:tcPr>
          <w:p w14:paraId="3097C030" w14:textId="77777777" w:rsidR="00C1364E" w:rsidRPr="00135BB1" w:rsidRDefault="00C1364E" w:rsidP="00A83512">
            <w:pPr>
              <w:spacing w:after="0" w:line="240" w:lineRule="auto"/>
              <w:rPr>
                <w:b/>
                <w:i/>
                <w:lang w:val="fr-FR"/>
              </w:rPr>
            </w:pPr>
            <w:r w:rsidRPr="00135BB1">
              <w:rPr>
                <w:b/>
                <w:i/>
                <w:lang w:val="fr-FR"/>
              </w:rPr>
              <w:t>Base de Référence (s))</w:t>
            </w:r>
            <w:r w:rsidRPr="00135BB1">
              <w:rPr>
                <w:rStyle w:val="Appelnotedebasdep"/>
                <w:b/>
                <w:i/>
                <w:lang w:val="fr-FR"/>
              </w:rPr>
              <w:footnoteReference w:id="2"/>
            </w:r>
          </w:p>
        </w:tc>
        <w:tc>
          <w:tcPr>
            <w:tcW w:w="1172" w:type="dxa"/>
            <w:gridSpan w:val="2"/>
            <w:tcBorders>
              <w:bottom w:val="single" w:sz="4" w:space="0" w:color="auto"/>
            </w:tcBorders>
            <w:shd w:val="clear" w:color="auto" w:fill="BDD6EE"/>
          </w:tcPr>
          <w:p w14:paraId="48B4B4F3" w14:textId="77777777" w:rsidR="00C1364E" w:rsidRPr="00135BB1" w:rsidRDefault="00C1364E" w:rsidP="00A83512">
            <w:pPr>
              <w:autoSpaceDE w:val="0"/>
              <w:autoSpaceDN w:val="0"/>
              <w:adjustRightInd w:val="0"/>
              <w:spacing w:after="0" w:line="240" w:lineRule="auto"/>
              <w:rPr>
                <w:rFonts w:ascii="Times New Roman" w:hAnsi="Times New Roman" w:cs="Times New Roman"/>
                <w:color w:val="000000"/>
                <w:sz w:val="18"/>
                <w:szCs w:val="18"/>
                <w:lang w:val="fr-FR" w:eastAsia="fr-FR"/>
              </w:rPr>
            </w:pPr>
            <w:r w:rsidRPr="00135BB1">
              <w:rPr>
                <w:b/>
                <w:i/>
                <w:lang w:val="fr-FR"/>
              </w:rPr>
              <w:t>Cible (s) de performance</w:t>
            </w:r>
            <w:r w:rsidRPr="00135BB1">
              <w:rPr>
                <w:lang w:val="fr-FR"/>
              </w:rPr>
              <w:t xml:space="preserve"> </w:t>
            </w:r>
            <w:r w:rsidRPr="00135BB1">
              <w:rPr>
                <w:rStyle w:val="Appelnotedebasdep"/>
                <w:lang w:val="fr-FR"/>
              </w:rPr>
              <w:footnoteReference w:id="3"/>
            </w:r>
            <w:r w:rsidRPr="00135BB1">
              <w:rPr>
                <w:lang w:val="fr-FR"/>
              </w:rPr>
              <w:t xml:space="preserve">  </w:t>
            </w:r>
          </w:p>
        </w:tc>
        <w:tc>
          <w:tcPr>
            <w:tcW w:w="2151" w:type="dxa"/>
            <w:tcBorders>
              <w:bottom w:val="single" w:sz="4" w:space="0" w:color="auto"/>
            </w:tcBorders>
            <w:shd w:val="clear" w:color="auto" w:fill="BDD6EE"/>
          </w:tcPr>
          <w:p w14:paraId="578E9B01" w14:textId="77777777" w:rsidR="00C1364E" w:rsidRPr="00135BB1" w:rsidRDefault="00C1364E" w:rsidP="00A83512">
            <w:pPr>
              <w:spacing w:after="0" w:line="240" w:lineRule="auto"/>
              <w:rPr>
                <w:b/>
                <w:lang w:val="fr-FR"/>
              </w:rPr>
            </w:pPr>
            <w:r w:rsidRPr="00135BB1">
              <w:rPr>
                <w:b/>
                <w:i/>
                <w:lang w:val="fr-FR"/>
              </w:rPr>
              <w:t>Source et moyen de vérification</w:t>
            </w:r>
            <w:r w:rsidRPr="00135BB1">
              <w:rPr>
                <w:rStyle w:val="Appelnotedebasdep"/>
                <w:b/>
                <w:i/>
                <w:lang w:val="fr-FR"/>
              </w:rPr>
              <w:footnoteReference w:id="4"/>
            </w:r>
          </w:p>
        </w:tc>
        <w:tc>
          <w:tcPr>
            <w:tcW w:w="3542" w:type="dxa"/>
            <w:tcBorders>
              <w:bottom w:val="single" w:sz="4" w:space="0" w:color="auto"/>
            </w:tcBorders>
            <w:shd w:val="clear" w:color="auto" w:fill="BDD6EE"/>
          </w:tcPr>
          <w:p w14:paraId="14DD4F35" w14:textId="77777777" w:rsidR="00C1364E" w:rsidRPr="00135BB1" w:rsidRDefault="00C1364E" w:rsidP="00A83512">
            <w:pPr>
              <w:spacing w:after="0" w:line="240" w:lineRule="auto"/>
              <w:rPr>
                <w:bCs/>
                <w:i/>
                <w:lang w:val="fr-FR"/>
              </w:rPr>
            </w:pPr>
            <w:r>
              <w:rPr>
                <w:b/>
                <w:lang w:val="fr-FR"/>
              </w:rPr>
              <w:t xml:space="preserve">Réalisation au cours de la période de référence (Année 2022) </w:t>
            </w:r>
            <w:r w:rsidRPr="00135BB1">
              <w:rPr>
                <w:rStyle w:val="Appelnotedebasdep"/>
                <w:b/>
                <w:lang w:val="fr-FR"/>
              </w:rPr>
              <w:footnoteReference w:id="5"/>
            </w:r>
          </w:p>
        </w:tc>
        <w:tc>
          <w:tcPr>
            <w:tcW w:w="3055" w:type="dxa"/>
            <w:tcBorders>
              <w:bottom w:val="single" w:sz="4" w:space="0" w:color="auto"/>
            </w:tcBorders>
            <w:shd w:val="clear" w:color="auto" w:fill="BDD6EE"/>
          </w:tcPr>
          <w:p w14:paraId="09344F91" w14:textId="77777777" w:rsidR="00C1364E" w:rsidRPr="00135BB1" w:rsidRDefault="00C1364E" w:rsidP="00A83512">
            <w:pPr>
              <w:spacing w:after="0" w:line="240" w:lineRule="auto"/>
              <w:rPr>
                <w:b/>
                <w:lang w:val="fr-FR"/>
              </w:rPr>
            </w:pPr>
            <w:r w:rsidRPr="00135BB1">
              <w:rPr>
                <w:b/>
                <w:lang w:val="fr-FR"/>
              </w:rPr>
              <w:t>Situation globale</w:t>
            </w:r>
          </w:p>
          <w:p w14:paraId="36DD20B4" w14:textId="77777777" w:rsidR="00C1364E" w:rsidRPr="00135BB1" w:rsidRDefault="00C1364E" w:rsidP="00A83512">
            <w:pPr>
              <w:spacing w:after="0" w:line="240" w:lineRule="auto"/>
              <w:rPr>
                <w:b/>
                <w:lang w:val="fr-FR"/>
              </w:rPr>
            </w:pPr>
            <w:r w:rsidRPr="00135BB1">
              <w:rPr>
                <w:bCs/>
                <w:lang w:val="fr-FR"/>
              </w:rPr>
              <w:t>En bonne voie / Contraintes / Aucun progrès / Atteint</w:t>
            </w:r>
          </w:p>
        </w:tc>
      </w:tr>
      <w:tr w:rsidR="00C1364E" w:rsidRPr="005D3714" w14:paraId="6EC0AB15" w14:textId="77777777" w:rsidTr="00C1364E">
        <w:trPr>
          <w:trHeight w:val="1254"/>
          <w:tblHeader/>
          <w:jc w:val="center"/>
        </w:trPr>
        <w:tc>
          <w:tcPr>
            <w:tcW w:w="1276" w:type="dxa"/>
            <w:vMerge w:val="restart"/>
            <w:shd w:val="clear" w:color="auto" w:fill="auto"/>
          </w:tcPr>
          <w:p w14:paraId="145FE427" w14:textId="77777777" w:rsidR="00C1364E" w:rsidRPr="0098226C" w:rsidRDefault="00C1364E" w:rsidP="00A83512">
            <w:pPr>
              <w:spacing w:after="0" w:line="240" w:lineRule="auto"/>
              <w:rPr>
                <w:rFonts w:cs="Calibri"/>
                <w:b/>
                <w:bCs/>
                <w:szCs w:val="20"/>
                <w:lang w:val="fr-FR"/>
              </w:rPr>
            </w:pPr>
            <w:r w:rsidRPr="00135BB1">
              <w:rPr>
                <w:rFonts w:cs="Calibri"/>
                <w:b/>
                <w:szCs w:val="20"/>
                <w:lang w:val="fr-FR"/>
              </w:rPr>
              <w:t>Objectif global.</w:t>
            </w:r>
            <w:r w:rsidRPr="00135BB1">
              <w:rPr>
                <w:rFonts w:cs="Calibri"/>
                <w:bCs/>
                <w:szCs w:val="20"/>
                <w:lang w:val="fr-FR"/>
              </w:rPr>
              <w:t xml:space="preserve"> Protéger les éléphants du Mali dans des sites clés et améliorer les moyens de subsistance </w:t>
            </w:r>
            <w:r w:rsidRPr="00135BB1">
              <w:rPr>
                <w:rFonts w:cs="Calibri"/>
                <w:bCs/>
                <w:szCs w:val="20"/>
                <w:lang w:val="fr-FR"/>
              </w:rPr>
              <w:lastRenderedPageBreak/>
              <w:t>des communautés locales qui vivent le long de la route de migration afin de réduire le conflit entre les hommes et les éléphants</w:t>
            </w:r>
          </w:p>
        </w:tc>
        <w:tc>
          <w:tcPr>
            <w:tcW w:w="1700" w:type="dxa"/>
          </w:tcPr>
          <w:p w14:paraId="3DC07825" w14:textId="77777777" w:rsidR="00C1364E" w:rsidRPr="00135BB1" w:rsidRDefault="00C1364E" w:rsidP="00A83512">
            <w:pPr>
              <w:pStyle w:val="Paragraphedeliste"/>
              <w:spacing w:after="0" w:line="240" w:lineRule="auto"/>
              <w:ind w:left="0"/>
              <w:contextualSpacing w:val="0"/>
              <w:rPr>
                <w:lang w:val="fr-FR"/>
              </w:rPr>
            </w:pPr>
            <w:r w:rsidRPr="00135BB1">
              <w:rPr>
                <w:rFonts w:cs="Calibri"/>
                <w:b/>
                <w:szCs w:val="20"/>
                <w:lang w:val="fr-FR"/>
              </w:rPr>
              <w:lastRenderedPageBreak/>
              <w:t xml:space="preserve">Indicateur obligatoire 2 </w:t>
            </w:r>
            <w:r w:rsidRPr="00135BB1">
              <w:rPr>
                <w:rFonts w:cs="Calibri"/>
                <w:bCs/>
                <w:szCs w:val="20"/>
                <w:lang w:val="fr-FR"/>
              </w:rPr>
              <w:t>Nombre de personnes (femmes/hommes) bénéficiant directement de la GCRN, de la GDF, et de la GDT dans les communes cibles</w:t>
            </w:r>
            <w:r w:rsidRPr="00135BB1">
              <w:rPr>
                <w:rFonts w:cs="Calibri"/>
                <w:b/>
                <w:szCs w:val="20"/>
                <w:lang w:val="fr-FR"/>
              </w:rPr>
              <w:t> </w:t>
            </w:r>
          </w:p>
        </w:tc>
        <w:tc>
          <w:tcPr>
            <w:tcW w:w="1842" w:type="dxa"/>
          </w:tcPr>
          <w:p w14:paraId="1BCE0454" w14:textId="77777777" w:rsidR="00C1364E" w:rsidRPr="00135BB1" w:rsidRDefault="00C1364E" w:rsidP="00A83512">
            <w:pPr>
              <w:autoSpaceDE w:val="0"/>
              <w:autoSpaceDN w:val="0"/>
              <w:adjustRightInd w:val="0"/>
              <w:spacing w:after="0" w:line="240" w:lineRule="auto"/>
              <w:rPr>
                <w:lang w:val="fr-FR"/>
              </w:rPr>
            </w:pPr>
            <w:r w:rsidRPr="00135BB1">
              <w:rPr>
                <w:rFonts w:cs="Calibri"/>
                <w:bCs/>
                <w:szCs w:val="20"/>
                <w:lang w:val="fr-FR"/>
              </w:rPr>
              <w:t>0</w:t>
            </w:r>
          </w:p>
        </w:tc>
        <w:tc>
          <w:tcPr>
            <w:tcW w:w="1172" w:type="dxa"/>
            <w:gridSpan w:val="2"/>
          </w:tcPr>
          <w:p w14:paraId="4988B8AC" w14:textId="77777777" w:rsidR="00C1364E" w:rsidRPr="00135BB1" w:rsidRDefault="00C1364E" w:rsidP="00A83512">
            <w:pPr>
              <w:autoSpaceDE w:val="0"/>
              <w:autoSpaceDN w:val="0"/>
              <w:adjustRightInd w:val="0"/>
              <w:spacing w:after="0" w:line="240" w:lineRule="auto"/>
              <w:rPr>
                <w:lang w:val="fr-FR"/>
              </w:rPr>
            </w:pPr>
            <w:r w:rsidRPr="00135BB1">
              <w:rPr>
                <w:rFonts w:cs="Calibri"/>
                <w:szCs w:val="20"/>
                <w:lang w:val="fr-FR"/>
              </w:rPr>
              <w:t>&gt;= 14</w:t>
            </w:r>
            <w:r>
              <w:rPr>
                <w:rFonts w:cs="Calibri"/>
                <w:szCs w:val="20"/>
                <w:lang w:val="fr-FR"/>
              </w:rPr>
              <w:t xml:space="preserve"> </w:t>
            </w:r>
            <w:r w:rsidRPr="00135BB1">
              <w:rPr>
                <w:rFonts w:cs="Calibri"/>
                <w:szCs w:val="20"/>
                <w:lang w:val="fr-FR"/>
              </w:rPr>
              <w:t xml:space="preserve">200 </w:t>
            </w:r>
            <w:r w:rsidRPr="00135BB1">
              <w:rPr>
                <w:rFonts w:cs="Calibri"/>
                <w:bCs/>
                <w:szCs w:val="20"/>
                <w:lang w:val="fr-FR"/>
              </w:rPr>
              <w:t>(au moins 50% de femmes)</w:t>
            </w:r>
          </w:p>
        </w:tc>
        <w:tc>
          <w:tcPr>
            <w:tcW w:w="2151" w:type="dxa"/>
          </w:tcPr>
          <w:p w14:paraId="1D217421" w14:textId="77777777" w:rsidR="00C1364E" w:rsidRPr="00135BB1" w:rsidRDefault="00C1364E" w:rsidP="00A83512">
            <w:pPr>
              <w:spacing w:after="0" w:line="240" w:lineRule="auto"/>
              <w:rPr>
                <w:rFonts w:cs="Calibri"/>
                <w:szCs w:val="20"/>
                <w:lang w:val="fr-FR"/>
              </w:rPr>
            </w:pPr>
            <w:r w:rsidRPr="00135BB1">
              <w:rPr>
                <w:rFonts w:cs="Calibri"/>
                <w:szCs w:val="20"/>
                <w:lang w:val="fr-FR"/>
              </w:rPr>
              <w:t>Base de données des conventions du PEM</w:t>
            </w:r>
          </w:p>
        </w:tc>
        <w:tc>
          <w:tcPr>
            <w:tcW w:w="3542" w:type="dxa"/>
            <w:shd w:val="clear" w:color="auto" w:fill="auto"/>
          </w:tcPr>
          <w:p w14:paraId="2770E111" w14:textId="77777777" w:rsidR="00C1364E" w:rsidRPr="00D71142" w:rsidRDefault="00C1364E" w:rsidP="00A83512">
            <w:pPr>
              <w:autoSpaceDE w:val="0"/>
              <w:autoSpaceDN w:val="0"/>
              <w:adjustRightInd w:val="0"/>
              <w:spacing w:after="0" w:line="240" w:lineRule="auto"/>
              <w:rPr>
                <w:lang w:val="fr-FR"/>
              </w:rPr>
            </w:pPr>
            <w:r>
              <w:rPr>
                <w:lang w:val="fr-FR"/>
              </w:rPr>
              <w:t>111 613</w:t>
            </w:r>
            <w:r w:rsidRPr="00D71142">
              <w:rPr>
                <w:lang w:val="fr-FR"/>
              </w:rPr>
              <w:t xml:space="preserve"> bénéficiaires dont </w:t>
            </w:r>
            <w:r>
              <w:rPr>
                <w:lang w:val="fr-FR"/>
              </w:rPr>
              <w:t>55 853 H, 55 660 F</w:t>
            </w:r>
            <w:r w:rsidRPr="00D71142">
              <w:rPr>
                <w:lang w:val="fr-FR"/>
              </w:rPr>
              <w:t xml:space="preserve"> femmes (soit 50%).</w:t>
            </w:r>
            <w:r w:rsidRPr="00D71142">
              <w:rPr>
                <w:rStyle w:val="Appelnotedebasdep"/>
                <w:lang w:val="fr-FR"/>
              </w:rPr>
              <w:footnoteReference w:id="6"/>
            </w:r>
          </w:p>
        </w:tc>
        <w:tc>
          <w:tcPr>
            <w:tcW w:w="3055" w:type="dxa"/>
          </w:tcPr>
          <w:p w14:paraId="3077232A" w14:textId="77777777" w:rsidR="00C1364E" w:rsidRPr="00D71142" w:rsidRDefault="00C1364E" w:rsidP="00A83512">
            <w:pPr>
              <w:spacing w:after="0" w:line="240" w:lineRule="auto"/>
              <w:rPr>
                <w:lang w:val="fr-FR"/>
              </w:rPr>
            </w:pPr>
            <w:r w:rsidRPr="00D71142">
              <w:rPr>
                <w:lang w:val="fr-FR"/>
              </w:rPr>
              <w:t>Atteint</w:t>
            </w:r>
          </w:p>
          <w:p w14:paraId="658CE1DD" w14:textId="77777777" w:rsidR="00C1364E" w:rsidRPr="00D71142" w:rsidRDefault="00C1364E" w:rsidP="00A83512">
            <w:pPr>
              <w:spacing w:after="0" w:line="240" w:lineRule="auto"/>
              <w:rPr>
                <w:lang w:val="fr-FR"/>
              </w:rPr>
            </w:pPr>
          </w:p>
          <w:p w14:paraId="68C1D2CB" w14:textId="77777777" w:rsidR="00C1364E" w:rsidRPr="00D71142" w:rsidRDefault="00C1364E" w:rsidP="00A83512">
            <w:pPr>
              <w:spacing w:after="0" w:line="240" w:lineRule="auto"/>
              <w:rPr>
                <w:lang w:val="fr-FR"/>
              </w:rPr>
            </w:pPr>
          </w:p>
        </w:tc>
      </w:tr>
      <w:tr w:rsidR="00C1364E" w:rsidRPr="00B12AE6" w14:paraId="541A14A0" w14:textId="77777777" w:rsidTr="00C1364E">
        <w:trPr>
          <w:trHeight w:val="1253"/>
          <w:tblHeader/>
          <w:jc w:val="center"/>
        </w:trPr>
        <w:tc>
          <w:tcPr>
            <w:tcW w:w="1276" w:type="dxa"/>
            <w:vMerge/>
            <w:shd w:val="clear" w:color="auto" w:fill="auto"/>
          </w:tcPr>
          <w:p w14:paraId="70702FB3" w14:textId="77777777" w:rsidR="00C1364E" w:rsidRPr="00135BB1" w:rsidRDefault="00C1364E" w:rsidP="00A83512">
            <w:pPr>
              <w:spacing w:after="0" w:line="240" w:lineRule="auto"/>
              <w:rPr>
                <w:rFonts w:cs="Calibri"/>
                <w:b/>
                <w:bCs/>
                <w:lang w:val="fr-FR"/>
              </w:rPr>
            </w:pPr>
          </w:p>
        </w:tc>
        <w:tc>
          <w:tcPr>
            <w:tcW w:w="1700" w:type="dxa"/>
          </w:tcPr>
          <w:p w14:paraId="1AE2D599" w14:textId="77777777" w:rsidR="00C1364E" w:rsidRPr="00135BB1" w:rsidRDefault="00C1364E" w:rsidP="00A83512">
            <w:pPr>
              <w:pStyle w:val="Paragraphedeliste"/>
              <w:spacing w:after="0" w:line="240" w:lineRule="auto"/>
              <w:ind w:left="0"/>
              <w:contextualSpacing w:val="0"/>
              <w:rPr>
                <w:rFonts w:cs="Calibri"/>
                <w:b/>
                <w:szCs w:val="20"/>
                <w:lang w:val="fr-FR"/>
              </w:rPr>
            </w:pPr>
            <w:r w:rsidRPr="00135BB1">
              <w:rPr>
                <w:rFonts w:cs="Calibri"/>
                <w:b/>
                <w:bCs/>
                <w:iCs/>
                <w:szCs w:val="20"/>
                <w:lang w:val="fr-FR"/>
              </w:rPr>
              <w:t xml:space="preserve">Indicateur obligatoire 3 </w:t>
            </w:r>
            <w:r w:rsidRPr="00135BB1">
              <w:rPr>
                <w:rFonts w:cs="Calibri"/>
                <w:iCs/>
                <w:szCs w:val="20"/>
                <w:lang w:val="fr-FR"/>
              </w:rPr>
              <w:t>Nombre (Population) d’éléphants dans la région du Gourma</w:t>
            </w:r>
          </w:p>
        </w:tc>
        <w:tc>
          <w:tcPr>
            <w:tcW w:w="1842" w:type="dxa"/>
          </w:tcPr>
          <w:p w14:paraId="0B2913E5" w14:textId="77777777" w:rsidR="00C1364E" w:rsidRPr="00135BB1" w:rsidRDefault="00C1364E" w:rsidP="00A83512">
            <w:pPr>
              <w:autoSpaceDE w:val="0"/>
              <w:autoSpaceDN w:val="0"/>
              <w:adjustRightInd w:val="0"/>
              <w:spacing w:after="0" w:line="240" w:lineRule="auto"/>
              <w:rPr>
                <w:iCs/>
                <w:lang w:val="fr-FR"/>
              </w:rPr>
            </w:pPr>
            <w:r w:rsidRPr="00135BB1">
              <w:rPr>
                <w:rFonts w:cs="Calibri"/>
                <w:iCs/>
                <w:szCs w:val="20"/>
                <w:lang w:val="fr-FR" w:eastAsia="zh-CN"/>
              </w:rPr>
              <w:t>192-242</w:t>
            </w:r>
            <w:r w:rsidRPr="00135BB1">
              <w:rPr>
                <w:rStyle w:val="Appelnotedebasdep"/>
                <w:rFonts w:cs="Calibri"/>
                <w:iCs/>
                <w:lang w:val="fr-FR" w:eastAsia="zh-CN"/>
              </w:rPr>
              <w:footnoteReference w:id="7"/>
            </w:r>
            <w:r w:rsidRPr="00135BB1">
              <w:rPr>
                <w:rFonts w:cs="Calibri"/>
                <w:iCs/>
                <w:szCs w:val="20"/>
                <w:lang w:val="fr-FR" w:eastAsia="zh-CN"/>
              </w:rPr>
              <w:t xml:space="preserve"> (2017)</w:t>
            </w:r>
          </w:p>
        </w:tc>
        <w:tc>
          <w:tcPr>
            <w:tcW w:w="1172" w:type="dxa"/>
            <w:gridSpan w:val="2"/>
          </w:tcPr>
          <w:p w14:paraId="41ECEC57" w14:textId="77777777" w:rsidR="00C1364E" w:rsidRPr="00135BB1" w:rsidRDefault="00C1364E" w:rsidP="00A83512">
            <w:pPr>
              <w:spacing w:after="0" w:line="240" w:lineRule="auto"/>
              <w:rPr>
                <w:rFonts w:cs="Calibri"/>
                <w:iCs/>
                <w:szCs w:val="20"/>
                <w:lang w:val="fr-FR" w:eastAsia="zh-CN"/>
              </w:rPr>
            </w:pPr>
            <w:r w:rsidRPr="00135BB1">
              <w:rPr>
                <w:rFonts w:cs="Calibri"/>
                <w:iCs/>
                <w:szCs w:val="20"/>
                <w:lang w:val="fr-FR" w:eastAsia="zh-CN"/>
              </w:rPr>
              <w:t>&gt;=206-259</w:t>
            </w:r>
            <w:r w:rsidRPr="00135BB1">
              <w:rPr>
                <w:rStyle w:val="Appelnotedebasdep"/>
                <w:rFonts w:cs="Calibri"/>
                <w:iCs/>
                <w:lang w:val="fr-FR" w:eastAsia="zh-CN"/>
              </w:rPr>
              <w:footnoteReference w:id="8"/>
            </w:r>
          </w:p>
        </w:tc>
        <w:tc>
          <w:tcPr>
            <w:tcW w:w="2151" w:type="dxa"/>
          </w:tcPr>
          <w:p w14:paraId="3933AFA1" w14:textId="77777777" w:rsidR="00C1364E" w:rsidRPr="00135BB1" w:rsidRDefault="00C1364E" w:rsidP="00A83512">
            <w:pPr>
              <w:spacing w:after="0" w:line="240" w:lineRule="auto"/>
              <w:rPr>
                <w:rFonts w:cs="Calibri"/>
                <w:iCs/>
                <w:color w:val="000000"/>
                <w:szCs w:val="20"/>
                <w:lang w:val="fr-FR"/>
              </w:rPr>
            </w:pPr>
            <w:r w:rsidRPr="00135BB1">
              <w:rPr>
                <w:rFonts w:cs="Calibri"/>
                <w:iCs/>
                <w:color w:val="000000"/>
                <w:szCs w:val="20"/>
                <w:lang w:val="fr-FR"/>
              </w:rPr>
              <w:t>MEP database of poaching</w:t>
            </w:r>
          </w:p>
        </w:tc>
        <w:tc>
          <w:tcPr>
            <w:tcW w:w="3542" w:type="dxa"/>
            <w:shd w:val="clear" w:color="auto" w:fill="auto"/>
          </w:tcPr>
          <w:p w14:paraId="0EE58E28" w14:textId="77777777" w:rsidR="00C1364E" w:rsidRPr="00135BB1" w:rsidRDefault="00C1364E" w:rsidP="00A83512">
            <w:pPr>
              <w:spacing w:after="0" w:line="240" w:lineRule="auto"/>
              <w:rPr>
                <w:iCs/>
                <w:lang w:val="fr-FR"/>
              </w:rPr>
            </w:pPr>
            <w:r w:rsidRPr="00135BB1">
              <w:rPr>
                <w:iCs/>
                <w:lang w:val="fr-FR"/>
              </w:rPr>
              <w:t>Aucun changement enregistré</w:t>
            </w:r>
          </w:p>
        </w:tc>
        <w:tc>
          <w:tcPr>
            <w:tcW w:w="3055" w:type="dxa"/>
          </w:tcPr>
          <w:p w14:paraId="178B3FC5" w14:textId="77777777" w:rsidR="00C1364E" w:rsidRPr="00135BB1" w:rsidRDefault="00C1364E" w:rsidP="00A83512">
            <w:pPr>
              <w:spacing w:after="0" w:line="240" w:lineRule="auto"/>
              <w:rPr>
                <w:iCs/>
                <w:lang w:val="fr-FR"/>
              </w:rPr>
            </w:pPr>
            <w:r w:rsidRPr="00CC3DD6">
              <w:rPr>
                <w:iCs/>
                <w:lang w:val="fr-FR"/>
              </w:rPr>
              <w:t>En attente du prochain recensement</w:t>
            </w:r>
            <w:r>
              <w:rPr>
                <w:iCs/>
                <w:lang w:val="fr-FR"/>
              </w:rPr>
              <w:t xml:space="preserve"> prévu pour 2023 si les conditions sécuritaires le permettent.</w:t>
            </w:r>
          </w:p>
        </w:tc>
      </w:tr>
      <w:tr w:rsidR="00C1364E" w:rsidRPr="00A5020F" w14:paraId="0305D15C" w14:textId="77777777" w:rsidTr="00C1364E">
        <w:trPr>
          <w:trHeight w:val="1253"/>
          <w:tblHeader/>
          <w:jc w:val="center"/>
        </w:trPr>
        <w:tc>
          <w:tcPr>
            <w:tcW w:w="1276" w:type="dxa"/>
            <w:vMerge/>
            <w:shd w:val="clear" w:color="auto" w:fill="auto"/>
          </w:tcPr>
          <w:p w14:paraId="0796107A" w14:textId="77777777" w:rsidR="00C1364E" w:rsidRPr="00135BB1" w:rsidRDefault="00C1364E" w:rsidP="00A83512">
            <w:pPr>
              <w:spacing w:after="0" w:line="240" w:lineRule="auto"/>
              <w:rPr>
                <w:rFonts w:cs="Calibri"/>
                <w:b/>
                <w:bCs/>
                <w:lang w:val="fr-FR"/>
              </w:rPr>
            </w:pPr>
          </w:p>
        </w:tc>
        <w:tc>
          <w:tcPr>
            <w:tcW w:w="1700" w:type="dxa"/>
          </w:tcPr>
          <w:p w14:paraId="2302BD56" w14:textId="77777777" w:rsidR="00C1364E" w:rsidRPr="00135BB1" w:rsidRDefault="00C1364E" w:rsidP="00A83512">
            <w:pPr>
              <w:pStyle w:val="Paragraphedeliste"/>
              <w:spacing w:after="0" w:line="240" w:lineRule="auto"/>
              <w:ind w:left="0"/>
              <w:contextualSpacing w:val="0"/>
              <w:rPr>
                <w:rFonts w:cs="Calibri"/>
                <w:b/>
                <w:szCs w:val="20"/>
                <w:lang w:val="fr-FR"/>
              </w:rPr>
            </w:pPr>
            <w:r w:rsidRPr="00135BB1">
              <w:rPr>
                <w:rFonts w:cs="Calibri"/>
                <w:b/>
                <w:bCs/>
                <w:iCs/>
                <w:szCs w:val="20"/>
                <w:lang w:val="fr-FR"/>
              </w:rPr>
              <w:t xml:space="preserve">Indicateur obligatoire 4 </w:t>
            </w:r>
            <w:r w:rsidRPr="00135BB1">
              <w:rPr>
                <w:rFonts w:cs="Calibri"/>
                <w:iCs/>
                <w:szCs w:val="20"/>
                <w:lang w:val="fr-FR"/>
              </w:rPr>
              <w:t>Nombre total d’hectares des forêts et des terres boisées dans la zone du projet</w:t>
            </w:r>
          </w:p>
        </w:tc>
        <w:tc>
          <w:tcPr>
            <w:tcW w:w="1842" w:type="dxa"/>
          </w:tcPr>
          <w:p w14:paraId="3B265BBE" w14:textId="77777777" w:rsidR="00C1364E" w:rsidRPr="00135BB1" w:rsidRDefault="00C1364E" w:rsidP="00A83512">
            <w:pPr>
              <w:autoSpaceDE w:val="0"/>
              <w:autoSpaceDN w:val="0"/>
              <w:adjustRightInd w:val="0"/>
              <w:spacing w:after="0" w:line="240" w:lineRule="auto"/>
              <w:rPr>
                <w:iCs/>
                <w:lang w:val="fr-FR"/>
              </w:rPr>
            </w:pPr>
            <w:r w:rsidRPr="00135BB1">
              <w:rPr>
                <w:rFonts w:cs="Calibri"/>
                <w:iCs/>
                <w:szCs w:val="20"/>
                <w:lang w:val="fr-FR" w:eastAsia="zh-CN"/>
              </w:rPr>
              <w:t>4</w:t>
            </w:r>
            <w:r>
              <w:rPr>
                <w:rFonts w:cs="Calibri"/>
                <w:iCs/>
                <w:szCs w:val="20"/>
                <w:lang w:val="fr-FR" w:eastAsia="zh-CN"/>
              </w:rPr>
              <w:t xml:space="preserve"> </w:t>
            </w:r>
            <w:r w:rsidRPr="00135BB1">
              <w:rPr>
                <w:rFonts w:cs="Calibri"/>
                <w:iCs/>
                <w:szCs w:val="20"/>
                <w:lang w:val="fr-FR" w:eastAsia="zh-CN"/>
              </w:rPr>
              <w:t>012-4</w:t>
            </w:r>
            <w:r>
              <w:rPr>
                <w:rFonts w:cs="Calibri"/>
                <w:iCs/>
                <w:szCs w:val="20"/>
                <w:lang w:val="fr-FR" w:eastAsia="zh-CN"/>
              </w:rPr>
              <w:t xml:space="preserve"> </w:t>
            </w:r>
            <w:r w:rsidRPr="00135BB1">
              <w:rPr>
                <w:rFonts w:cs="Calibri"/>
                <w:iCs/>
                <w:szCs w:val="20"/>
                <w:lang w:val="fr-FR" w:eastAsia="zh-CN"/>
              </w:rPr>
              <w:t>033</w:t>
            </w:r>
            <w:r w:rsidRPr="00135BB1">
              <w:rPr>
                <w:rStyle w:val="Appelnotedebasdep"/>
                <w:rFonts w:cs="Calibri"/>
                <w:iCs/>
                <w:lang w:val="fr-FR" w:eastAsia="zh-CN"/>
              </w:rPr>
              <w:footnoteReference w:id="9"/>
            </w:r>
          </w:p>
        </w:tc>
        <w:tc>
          <w:tcPr>
            <w:tcW w:w="1172" w:type="dxa"/>
            <w:gridSpan w:val="2"/>
          </w:tcPr>
          <w:p w14:paraId="499A5726" w14:textId="77777777" w:rsidR="00C1364E" w:rsidRPr="00135BB1" w:rsidRDefault="00C1364E" w:rsidP="00A83512">
            <w:pPr>
              <w:autoSpaceDE w:val="0"/>
              <w:autoSpaceDN w:val="0"/>
              <w:adjustRightInd w:val="0"/>
              <w:spacing w:after="0" w:line="240" w:lineRule="auto"/>
              <w:rPr>
                <w:iCs/>
                <w:lang w:val="fr-FR"/>
              </w:rPr>
            </w:pPr>
            <w:r w:rsidRPr="00135BB1">
              <w:rPr>
                <w:rFonts w:cs="Calibri"/>
                <w:iCs/>
                <w:szCs w:val="20"/>
                <w:lang w:val="fr-FR" w:eastAsia="zh-CN"/>
              </w:rPr>
              <w:t>&gt;=4</w:t>
            </w:r>
            <w:r>
              <w:rPr>
                <w:rFonts w:cs="Calibri"/>
                <w:iCs/>
                <w:szCs w:val="20"/>
                <w:lang w:val="fr-FR" w:eastAsia="zh-CN"/>
              </w:rPr>
              <w:t xml:space="preserve"> </w:t>
            </w:r>
            <w:r w:rsidRPr="00135BB1">
              <w:rPr>
                <w:rFonts w:cs="Calibri"/>
                <w:iCs/>
                <w:szCs w:val="20"/>
                <w:lang w:val="fr-FR" w:eastAsia="zh-CN"/>
              </w:rPr>
              <w:t>012-4</w:t>
            </w:r>
            <w:r>
              <w:rPr>
                <w:rFonts w:cs="Calibri"/>
                <w:iCs/>
                <w:szCs w:val="20"/>
                <w:lang w:val="fr-FR" w:eastAsia="zh-CN"/>
              </w:rPr>
              <w:t xml:space="preserve"> </w:t>
            </w:r>
            <w:r w:rsidRPr="00135BB1">
              <w:rPr>
                <w:rFonts w:cs="Calibri"/>
                <w:iCs/>
                <w:szCs w:val="20"/>
                <w:lang w:val="fr-FR" w:eastAsia="zh-CN"/>
              </w:rPr>
              <w:t>033</w:t>
            </w:r>
            <w:r w:rsidRPr="00135BB1">
              <w:rPr>
                <w:rStyle w:val="Appelnotedebasdep"/>
                <w:iCs/>
                <w:lang w:val="fr-FR" w:eastAsia="zh-CN"/>
              </w:rPr>
              <w:footnoteReference w:id="10"/>
            </w:r>
          </w:p>
        </w:tc>
        <w:tc>
          <w:tcPr>
            <w:tcW w:w="2151" w:type="dxa"/>
          </w:tcPr>
          <w:p w14:paraId="410E1F73" w14:textId="77777777" w:rsidR="00C1364E" w:rsidRPr="00135BB1" w:rsidRDefault="00C1364E" w:rsidP="00A83512">
            <w:pPr>
              <w:autoSpaceDE w:val="0"/>
              <w:autoSpaceDN w:val="0"/>
              <w:adjustRightInd w:val="0"/>
              <w:spacing w:after="0" w:line="240" w:lineRule="auto"/>
              <w:rPr>
                <w:iCs/>
                <w:lang w:val="fr-FR"/>
              </w:rPr>
            </w:pPr>
            <w:r w:rsidRPr="00135BB1">
              <w:rPr>
                <w:iCs/>
                <w:lang w:val="fr-FR"/>
              </w:rPr>
              <w:t>Analyse des données de Hansen et al. 2013</w:t>
            </w:r>
          </w:p>
        </w:tc>
        <w:tc>
          <w:tcPr>
            <w:tcW w:w="3542" w:type="dxa"/>
            <w:shd w:val="clear" w:color="auto" w:fill="auto"/>
          </w:tcPr>
          <w:p w14:paraId="55D96607" w14:textId="77777777" w:rsidR="00C1364E" w:rsidRPr="00B36E77" w:rsidRDefault="00C1364E" w:rsidP="00A83512">
            <w:pPr>
              <w:spacing w:after="0" w:line="240" w:lineRule="auto"/>
              <w:rPr>
                <w:iCs/>
                <w:lang w:val="fr-FR"/>
              </w:rPr>
            </w:pPr>
            <w:r w:rsidRPr="00B36E77">
              <w:rPr>
                <w:iCs/>
                <w:lang w:val="fr-FR"/>
              </w:rPr>
              <w:t>3 891 ha</w:t>
            </w:r>
            <w:r>
              <w:rPr>
                <w:rStyle w:val="Appelnotedebasdep"/>
                <w:iCs/>
                <w:lang w:val="fr-FR"/>
              </w:rPr>
              <w:footnoteReference w:id="11"/>
            </w:r>
          </w:p>
        </w:tc>
        <w:tc>
          <w:tcPr>
            <w:tcW w:w="3055" w:type="dxa"/>
          </w:tcPr>
          <w:p w14:paraId="102BFFED" w14:textId="77777777" w:rsidR="00C1364E" w:rsidRPr="00B36E77" w:rsidRDefault="00C1364E" w:rsidP="00A83512">
            <w:pPr>
              <w:spacing w:after="0" w:line="240" w:lineRule="auto"/>
              <w:rPr>
                <w:bCs/>
                <w:iCs/>
                <w:lang w:val="fr-FR"/>
              </w:rPr>
            </w:pPr>
            <w:r w:rsidRPr="00B36E77">
              <w:rPr>
                <w:bCs/>
                <w:iCs/>
                <w:lang w:val="fr-FR"/>
              </w:rPr>
              <w:t>Situation stable</w:t>
            </w:r>
          </w:p>
        </w:tc>
      </w:tr>
      <w:tr w:rsidR="00C1364E" w:rsidRPr="00FF002D" w14:paraId="2CD0EA99" w14:textId="77777777" w:rsidTr="00C1364E">
        <w:trPr>
          <w:trHeight w:val="809"/>
          <w:tblHeader/>
          <w:jc w:val="center"/>
        </w:trPr>
        <w:tc>
          <w:tcPr>
            <w:tcW w:w="1276" w:type="dxa"/>
            <w:vMerge w:val="restart"/>
          </w:tcPr>
          <w:p w14:paraId="3483FB33" w14:textId="77777777" w:rsidR="00C1364E" w:rsidRDefault="00C1364E" w:rsidP="00A83512">
            <w:pPr>
              <w:autoSpaceDE w:val="0"/>
              <w:autoSpaceDN w:val="0"/>
              <w:adjustRightInd w:val="0"/>
              <w:spacing w:after="0" w:line="240" w:lineRule="auto"/>
              <w:rPr>
                <w:lang w:val="fr-FR"/>
              </w:rPr>
            </w:pPr>
            <w:r w:rsidRPr="00135BB1">
              <w:rPr>
                <w:b/>
                <w:bCs/>
                <w:lang w:val="fr-FR"/>
              </w:rPr>
              <w:lastRenderedPageBreak/>
              <w:t>Produit 3.</w:t>
            </w:r>
            <w:r w:rsidRPr="00135BB1">
              <w:rPr>
                <w:lang w:val="fr-FR"/>
              </w:rPr>
              <w:t xml:space="preserve"> Augmentation de la superficie sous gestion communautaire durable des ressources naturelles (GCRN) et amélioration de la capacité des communautés locales à coexister avec les éléphants Gourma </w:t>
            </w:r>
          </w:p>
          <w:p w14:paraId="4648AF2A" w14:textId="77777777" w:rsidR="00C1364E" w:rsidRDefault="00C1364E" w:rsidP="00A83512">
            <w:pPr>
              <w:autoSpaceDE w:val="0"/>
              <w:autoSpaceDN w:val="0"/>
              <w:adjustRightInd w:val="0"/>
              <w:spacing w:after="0" w:line="240" w:lineRule="auto"/>
              <w:rPr>
                <w:lang w:val="fr-FR"/>
              </w:rPr>
            </w:pPr>
          </w:p>
          <w:p w14:paraId="6D74BDB7" w14:textId="77777777" w:rsidR="00C1364E" w:rsidRPr="00135BB1" w:rsidRDefault="00C1364E" w:rsidP="00A83512">
            <w:pPr>
              <w:autoSpaceDE w:val="0"/>
              <w:autoSpaceDN w:val="0"/>
              <w:adjustRightInd w:val="0"/>
              <w:spacing w:after="0" w:line="240" w:lineRule="auto"/>
              <w:rPr>
                <w:rFonts w:cs="Calibri"/>
                <w:bCs/>
                <w:szCs w:val="20"/>
                <w:lang w:val="fr-FR"/>
              </w:rPr>
            </w:pPr>
          </w:p>
        </w:tc>
        <w:tc>
          <w:tcPr>
            <w:tcW w:w="1700" w:type="dxa"/>
            <w:tcBorders>
              <w:bottom w:val="single" w:sz="4" w:space="0" w:color="auto"/>
            </w:tcBorders>
            <w:shd w:val="clear" w:color="auto" w:fill="auto"/>
          </w:tcPr>
          <w:p w14:paraId="329EFF0E" w14:textId="77777777" w:rsidR="00C1364E" w:rsidRPr="00135BB1" w:rsidRDefault="00C1364E" w:rsidP="00A83512">
            <w:pPr>
              <w:autoSpaceDE w:val="0"/>
              <w:autoSpaceDN w:val="0"/>
              <w:adjustRightInd w:val="0"/>
              <w:spacing w:after="0" w:line="240" w:lineRule="auto"/>
              <w:rPr>
                <w:lang w:val="fr-FR"/>
              </w:rPr>
            </w:pPr>
            <w:r w:rsidRPr="00135BB1">
              <w:rPr>
                <w:rFonts w:eastAsia="Times New Roman" w:cs="Calibri"/>
                <w:b/>
                <w:kern w:val="1"/>
                <w:lang w:val="fr-FR" w:eastAsia="zh-CN"/>
              </w:rPr>
              <w:t xml:space="preserve">Indicateur 10. </w:t>
            </w:r>
            <w:r w:rsidRPr="00135BB1">
              <w:rPr>
                <w:rFonts w:eastAsia="Times New Roman" w:cs="Calibri"/>
                <w:bCs/>
                <w:kern w:val="1"/>
                <w:lang w:val="fr-FR" w:eastAsia="zh-CN"/>
              </w:rPr>
              <w:t>Nombre annuel de conflits entre les hommes et les éléphants (HEC) dans la zone du projet</w:t>
            </w:r>
          </w:p>
        </w:tc>
        <w:tc>
          <w:tcPr>
            <w:tcW w:w="1842" w:type="dxa"/>
            <w:shd w:val="clear" w:color="auto" w:fill="auto"/>
          </w:tcPr>
          <w:p w14:paraId="18AB9361" w14:textId="77777777" w:rsidR="00C1364E" w:rsidRPr="00135BB1" w:rsidRDefault="00C1364E" w:rsidP="00A83512">
            <w:pPr>
              <w:autoSpaceDE w:val="0"/>
              <w:autoSpaceDN w:val="0"/>
              <w:adjustRightInd w:val="0"/>
              <w:spacing w:after="0" w:line="240" w:lineRule="auto"/>
              <w:rPr>
                <w:lang w:val="fr-FR"/>
              </w:rPr>
            </w:pPr>
            <w:r w:rsidRPr="00135BB1">
              <w:rPr>
                <w:lang w:val="fr-FR"/>
              </w:rPr>
              <w:t>27-40</w:t>
            </w:r>
          </w:p>
        </w:tc>
        <w:tc>
          <w:tcPr>
            <w:tcW w:w="1135" w:type="dxa"/>
            <w:shd w:val="clear" w:color="auto" w:fill="auto"/>
          </w:tcPr>
          <w:p w14:paraId="0941BB2C" w14:textId="77777777" w:rsidR="00C1364E" w:rsidRPr="00135BB1" w:rsidRDefault="00C1364E" w:rsidP="00A83512">
            <w:pPr>
              <w:spacing w:after="0" w:line="240" w:lineRule="auto"/>
              <w:rPr>
                <w:lang w:val="fr-FR"/>
              </w:rPr>
            </w:pPr>
            <w:r w:rsidRPr="00135BB1">
              <w:rPr>
                <w:lang w:val="fr-FR"/>
              </w:rPr>
              <w:t>&lt;=27-40</w:t>
            </w:r>
          </w:p>
        </w:tc>
        <w:tc>
          <w:tcPr>
            <w:tcW w:w="2188" w:type="dxa"/>
            <w:gridSpan w:val="2"/>
          </w:tcPr>
          <w:p w14:paraId="39B62CAD" w14:textId="77777777" w:rsidR="00C1364E" w:rsidRPr="00135BB1" w:rsidRDefault="00C1364E" w:rsidP="00A83512">
            <w:pPr>
              <w:autoSpaceDE w:val="0"/>
              <w:autoSpaceDN w:val="0"/>
              <w:adjustRightInd w:val="0"/>
              <w:spacing w:after="0" w:line="240" w:lineRule="auto"/>
              <w:rPr>
                <w:lang w:val="fr-FR"/>
              </w:rPr>
            </w:pPr>
            <w:r w:rsidRPr="00135BB1">
              <w:rPr>
                <w:lang w:val="fr-FR"/>
              </w:rPr>
              <w:t>Base de données PEM sur les HEC</w:t>
            </w:r>
          </w:p>
        </w:tc>
        <w:tc>
          <w:tcPr>
            <w:tcW w:w="3542" w:type="dxa"/>
            <w:shd w:val="clear" w:color="auto" w:fill="auto"/>
          </w:tcPr>
          <w:p w14:paraId="1CDCAA56" w14:textId="77777777" w:rsidR="00C1364E" w:rsidRPr="00FF002D" w:rsidRDefault="00C1364E" w:rsidP="00A83512">
            <w:pPr>
              <w:spacing w:after="0" w:line="240" w:lineRule="auto"/>
              <w:rPr>
                <w:lang w:val="fr-FR"/>
              </w:rPr>
            </w:pPr>
            <w:r>
              <w:rPr>
                <w:lang w:val="fr-FR"/>
              </w:rPr>
              <w:t>5</w:t>
            </w:r>
            <w:r w:rsidRPr="00FF002D">
              <w:rPr>
                <w:rStyle w:val="Appelnotedebasdep"/>
                <w:lang w:val="fr-FR"/>
              </w:rPr>
              <w:footnoteReference w:id="12"/>
            </w:r>
          </w:p>
        </w:tc>
        <w:tc>
          <w:tcPr>
            <w:tcW w:w="3055" w:type="dxa"/>
          </w:tcPr>
          <w:p w14:paraId="587F75A4" w14:textId="77777777" w:rsidR="00C1364E" w:rsidRPr="00FF002D" w:rsidRDefault="00C1364E" w:rsidP="00A83512">
            <w:pPr>
              <w:spacing w:after="0" w:line="240" w:lineRule="auto"/>
              <w:rPr>
                <w:lang w:val="fr-FR"/>
              </w:rPr>
            </w:pPr>
            <w:r w:rsidRPr="00FF002D">
              <w:rPr>
                <w:lang w:val="fr-FR"/>
              </w:rPr>
              <w:t>En diminution.</w:t>
            </w:r>
          </w:p>
        </w:tc>
      </w:tr>
      <w:tr w:rsidR="00C1364E" w:rsidRPr="00B12AE6" w14:paraId="104672B4" w14:textId="77777777" w:rsidTr="00C1364E">
        <w:trPr>
          <w:trHeight w:val="809"/>
          <w:tblHeader/>
          <w:jc w:val="center"/>
        </w:trPr>
        <w:tc>
          <w:tcPr>
            <w:tcW w:w="1276" w:type="dxa"/>
            <w:vMerge/>
          </w:tcPr>
          <w:p w14:paraId="65C4B723" w14:textId="77777777" w:rsidR="00C1364E" w:rsidRPr="00135BB1" w:rsidRDefault="00C1364E" w:rsidP="00A83512">
            <w:pPr>
              <w:autoSpaceDE w:val="0"/>
              <w:autoSpaceDN w:val="0"/>
              <w:adjustRightInd w:val="0"/>
              <w:spacing w:after="0" w:line="240" w:lineRule="auto"/>
              <w:rPr>
                <w:b/>
                <w:bCs/>
                <w:lang w:val="fr-FR"/>
              </w:rPr>
            </w:pPr>
          </w:p>
        </w:tc>
        <w:tc>
          <w:tcPr>
            <w:tcW w:w="1700" w:type="dxa"/>
            <w:shd w:val="clear" w:color="auto" w:fill="auto"/>
          </w:tcPr>
          <w:p w14:paraId="46B2A576" w14:textId="77777777" w:rsidR="00C1364E" w:rsidRPr="00135BB1" w:rsidRDefault="00C1364E" w:rsidP="00A83512">
            <w:pPr>
              <w:autoSpaceDE w:val="0"/>
              <w:autoSpaceDN w:val="0"/>
              <w:adjustRightInd w:val="0"/>
              <w:spacing w:after="0" w:line="240" w:lineRule="auto"/>
              <w:rPr>
                <w:rFonts w:eastAsia="Times New Roman" w:cs="Calibri"/>
                <w:b/>
                <w:kern w:val="1"/>
                <w:lang w:val="fr-FR" w:eastAsia="zh-CN"/>
              </w:rPr>
            </w:pPr>
            <w:r w:rsidRPr="00135BB1">
              <w:rPr>
                <w:rFonts w:cs="Calibri"/>
                <w:b/>
                <w:bCs/>
                <w:szCs w:val="20"/>
                <w:lang w:val="fr-FR"/>
              </w:rPr>
              <w:t xml:space="preserve">Indicateur 12. </w:t>
            </w:r>
            <w:r w:rsidRPr="00135BB1">
              <w:rPr>
                <w:rFonts w:cs="Calibri"/>
                <w:szCs w:val="20"/>
                <w:lang w:val="fr-FR"/>
              </w:rPr>
              <w:t>Nombre d’hectares par an de superficie des feux de brousse incontrôlés dans la zone du projet pendant la saison sèche (octobre-mai)</w:t>
            </w:r>
            <w:r w:rsidRPr="00135BB1">
              <w:rPr>
                <w:rFonts w:cs="Calibri"/>
                <w:b/>
                <w:bCs/>
                <w:szCs w:val="20"/>
                <w:lang w:val="fr-FR"/>
              </w:rPr>
              <w:t> </w:t>
            </w:r>
          </w:p>
        </w:tc>
        <w:tc>
          <w:tcPr>
            <w:tcW w:w="1842" w:type="dxa"/>
            <w:shd w:val="clear" w:color="auto" w:fill="auto"/>
          </w:tcPr>
          <w:p w14:paraId="4E828159" w14:textId="77777777" w:rsidR="00C1364E" w:rsidRPr="00135BB1" w:rsidRDefault="00C1364E" w:rsidP="00A83512">
            <w:pPr>
              <w:autoSpaceDE w:val="0"/>
              <w:autoSpaceDN w:val="0"/>
              <w:adjustRightInd w:val="0"/>
              <w:spacing w:after="0" w:line="240" w:lineRule="auto"/>
              <w:rPr>
                <w:lang w:val="fr-FR"/>
              </w:rPr>
            </w:pPr>
            <w:r w:rsidRPr="00135BB1">
              <w:rPr>
                <w:rFonts w:cs="Calibri"/>
                <w:szCs w:val="20"/>
                <w:lang w:val="fr-FR" w:eastAsia="zh-CN"/>
              </w:rPr>
              <w:t>17</w:t>
            </w:r>
            <w:r>
              <w:rPr>
                <w:rFonts w:cs="Calibri"/>
                <w:szCs w:val="20"/>
                <w:lang w:val="fr-FR" w:eastAsia="zh-CN"/>
              </w:rPr>
              <w:t xml:space="preserve"> </w:t>
            </w:r>
            <w:r w:rsidRPr="00135BB1">
              <w:rPr>
                <w:rFonts w:cs="Calibri"/>
                <w:szCs w:val="20"/>
                <w:lang w:val="fr-FR" w:eastAsia="zh-CN"/>
              </w:rPr>
              <w:t>647</w:t>
            </w:r>
            <w:r w:rsidRPr="00135BB1">
              <w:rPr>
                <w:rStyle w:val="Appelnotedebasdep"/>
                <w:rFonts w:cs="Calibri"/>
                <w:lang w:val="fr-FR" w:eastAsia="zh-CN"/>
              </w:rPr>
              <w:footnoteReference w:id="13"/>
            </w:r>
          </w:p>
        </w:tc>
        <w:tc>
          <w:tcPr>
            <w:tcW w:w="1135" w:type="dxa"/>
            <w:shd w:val="clear" w:color="auto" w:fill="auto"/>
          </w:tcPr>
          <w:p w14:paraId="7FA9193B" w14:textId="77777777" w:rsidR="00C1364E" w:rsidRPr="00135BB1" w:rsidRDefault="00C1364E" w:rsidP="00A83512">
            <w:pPr>
              <w:spacing w:after="0" w:line="240" w:lineRule="auto"/>
              <w:rPr>
                <w:lang w:val="fr-FR"/>
              </w:rPr>
            </w:pPr>
            <w:r w:rsidRPr="00135BB1">
              <w:rPr>
                <w:rFonts w:cs="Calibri"/>
                <w:bCs/>
                <w:szCs w:val="20"/>
                <w:lang w:val="fr-FR"/>
              </w:rPr>
              <w:t>&lt;=10</w:t>
            </w:r>
            <w:r>
              <w:rPr>
                <w:rFonts w:cs="Calibri"/>
                <w:bCs/>
                <w:szCs w:val="20"/>
                <w:lang w:val="fr-FR"/>
              </w:rPr>
              <w:t xml:space="preserve"> </w:t>
            </w:r>
            <w:r w:rsidRPr="00135BB1">
              <w:rPr>
                <w:rFonts w:cs="Calibri"/>
                <w:bCs/>
                <w:szCs w:val="20"/>
                <w:lang w:val="fr-FR"/>
              </w:rPr>
              <w:t>500</w:t>
            </w:r>
            <w:r w:rsidRPr="00135BB1">
              <w:rPr>
                <w:rStyle w:val="Appelnotedebasdep"/>
                <w:bCs/>
                <w:lang w:val="fr-FR"/>
              </w:rPr>
              <w:footnoteReference w:id="14"/>
            </w:r>
          </w:p>
        </w:tc>
        <w:tc>
          <w:tcPr>
            <w:tcW w:w="2188" w:type="dxa"/>
            <w:gridSpan w:val="2"/>
          </w:tcPr>
          <w:p w14:paraId="1539EDD6" w14:textId="77777777" w:rsidR="00C1364E" w:rsidRPr="00B769C4" w:rsidRDefault="00C1364E" w:rsidP="00A83512">
            <w:pPr>
              <w:rPr>
                <w:rFonts w:asciiTheme="minorHAnsi" w:hAnsiTheme="minorHAnsi" w:cstheme="minorHAnsi"/>
                <w:szCs w:val="20"/>
                <w:lang w:val="fr-FR"/>
              </w:rPr>
            </w:pPr>
            <w:r w:rsidRPr="00E7277C">
              <w:rPr>
                <w:rFonts w:asciiTheme="minorHAnsi" w:hAnsiTheme="minorHAnsi" w:cstheme="minorHAnsi"/>
                <w:szCs w:val="20"/>
                <w:lang w:val="fr-FR"/>
              </w:rPr>
              <w:t>Télédétection et analyse SIG de la zone brûlée MODIS</w:t>
            </w:r>
            <w:r>
              <w:rPr>
                <w:rFonts w:asciiTheme="minorHAnsi" w:hAnsiTheme="minorHAnsi" w:cstheme="minorHAnsi"/>
                <w:szCs w:val="20"/>
                <w:lang w:val="fr-FR"/>
              </w:rPr>
              <w:t xml:space="preserve"> L3 pour octobre-mai (saison sèche au Mali) et </w:t>
            </w:r>
            <w:r w:rsidRPr="00E7277C">
              <w:rPr>
                <w:rFonts w:asciiTheme="minorHAnsi" w:hAnsiTheme="minorHAnsi" w:cstheme="minorHAnsi"/>
                <w:szCs w:val="20"/>
                <w:lang w:val="fr-FR"/>
              </w:rPr>
              <w:t xml:space="preserve">vérification sur le </w:t>
            </w:r>
            <w:r>
              <w:rPr>
                <w:rFonts w:asciiTheme="minorHAnsi" w:hAnsiTheme="minorHAnsi" w:cstheme="minorHAnsi"/>
                <w:szCs w:val="20"/>
                <w:lang w:val="fr-FR"/>
              </w:rPr>
              <w:t>terrain.</w:t>
            </w:r>
          </w:p>
        </w:tc>
        <w:tc>
          <w:tcPr>
            <w:tcW w:w="3542" w:type="dxa"/>
            <w:shd w:val="clear" w:color="auto" w:fill="auto"/>
          </w:tcPr>
          <w:p w14:paraId="6A65F8E4" w14:textId="77777777" w:rsidR="00C1364E" w:rsidRDefault="00C1364E" w:rsidP="00A83512">
            <w:pPr>
              <w:autoSpaceDE w:val="0"/>
              <w:autoSpaceDN w:val="0"/>
              <w:adjustRightInd w:val="0"/>
              <w:spacing w:after="0" w:line="240" w:lineRule="auto"/>
              <w:rPr>
                <w:lang w:val="fr-FR"/>
              </w:rPr>
            </w:pPr>
            <w:proofErr w:type="gramStart"/>
            <w:r w:rsidRPr="0014503B">
              <w:rPr>
                <w:lang w:val="fr-FR"/>
              </w:rPr>
              <w:t>oct</w:t>
            </w:r>
            <w:proofErr w:type="gramEnd"/>
            <w:r w:rsidRPr="0014503B">
              <w:rPr>
                <w:lang w:val="fr-FR"/>
              </w:rPr>
              <w:t xml:space="preserve"> 2021-mai 2022</w:t>
            </w:r>
            <w:r>
              <w:rPr>
                <w:lang w:val="fr-FR"/>
              </w:rPr>
              <w:t xml:space="preserve"> : </w:t>
            </w:r>
            <w:r w:rsidRPr="0014503B">
              <w:rPr>
                <w:lang w:val="fr-FR"/>
              </w:rPr>
              <w:t>18 731 ha</w:t>
            </w:r>
            <w:r>
              <w:rPr>
                <w:lang w:val="fr-FR"/>
              </w:rPr>
              <w:t xml:space="preserve"> (données MODIS)</w:t>
            </w:r>
          </w:p>
          <w:p w14:paraId="650A2DF9" w14:textId="77777777" w:rsidR="00C1364E" w:rsidRDefault="00C1364E" w:rsidP="00A83512">
            <w:pPr>
              <w:autoSpaceDE w:val="0"/>
              <w:autoSpaceDN w:val="0"/>
              <w:adjustRightInd w:val="0"/>
              <w:spacing w:after="0" w:line="240" w:lineRule="auto"/>
              <w:rPr>
                <w:lang w:val="fr-FR"/>
              </w:rPr>
            </w:pPr>
          </w:p>
          <w:p w14:paraId="52929FEB" w14:textId="77777777" w:rsidR="00C1364E" w:rsidRPr="00A4406A" w:rsidRDefault="00C1364E" w:rsidP="00A83512">
            <w:pPr>
              <w:autoSpaceDE w:val="0"/>
              <w:autoSpaceDN w:val="0"/>
              <w:adjustRightInd w:val="0"/>
              <w:spacing w:after="0" w:line="240" w:lineRule="auto"/>
              <w:rPr>
                <w:lang w:val="fr-FR"/>
              </w:rPr>
            </w:pPr>
            <w:r>
              <w:rPr>
                <w:lang w:val="fr-FR"/>
              </w:rPr>
              <w:t>Oct 2022-Dec 2022 : 17 365 ha</w:t>
            </w:r>
          </w:p>
          <w:p w14:paraId="5E0DDAE1" w14:textId="77777777" w:rsidR="00C1364E" w:rsidRDefault="00C1364E" w:rsidP="00A83512">
            <w:pPr>
              <w:autoSpaceDE w:val="0"/>
              <w:autoSpaceDN w:val="0"/>
              <w:adjustRightInd w:val="0"/>
              <w:spacing w:after="0" w:line="240" w:lineRule="auto"/>
              <w:rPr>
                <w:lang w:val="fr-FR"/>
              </w:rPr>
            </w:pPr>
            <w:r>
              <w:rPr>
                <w:lang w:val="fr-FR"/>
              </w:rPr>
              <w:t>(Données terrain disponibles au moment du rapport. Les d</w:t>
            </w:r>
            <w:r w:rsidRPr="00DE20BA">
              <w:rPr>
                <w:lang w:val="fr-FR"/>
              </w:rPr>
              <w:t xml:space="preserve">onnées </w:t>
            </w:r>
            <w:r>
              <w:rPr>
                <w:lang w:val="fr-FR"/>
              </w:rPr>
              <w:t xml:space="preserve">MODIS </w:t>
            </w:r>
            <w:r w:rsidRPr="00DE20BA">
              <w:rPr>
                <w:lang w:val="fr-FR"/>
              </w:rPr>
              <w:t>oct-déc 2022 ne sont pas encore disponibles.</w:t>
            </w:r>
            <w:r>
              <w:rPr>
                <w:lang w:val="fr-FR"/>
              </w:rPr>
              <w:t>)</w:t>
            </w:r>
          </w:p>
          <w:p w14:paraId="5492C1C7" w14:textId="77777777" w:rsidR="00C1364E" w:rsidRPr="00DE20BA" w:rsidRDefault="00C1364E" w:rsidP="00A83512">
            <w:pPr>
              <w:autoSpaceDE w:val="0"/>
              <w:autoSpaceDN w:val="0"/>
              <w:adjustRightInd w:val="0"/>
              <w:spacing w:after="0" w:line="240" w:lineRule="auto"/>
              <w:rPr>
                <w:lang w:val="fr-FR"/>
              </w:rPr>
            </w:pPr>
          </w:p>
        </w:tc>
        <w:tc>
          <w:tcPr>
            <w:tcW w:w="3055" w:type="dxa"/>
          </w:tcPr>
          <w:p w14:paraId="1D20D98B" w14:textId="77777777" w:rsidR="00C1364E" w:rsidRPr="00D77966" w:rsidRDefault="00C1364E" w:rsidP="00A83512">
            <w:pPr>
              <w:spacing w:after="0" w:line="240" w:lineRule="auto"/>
              <w:rPr>
                <w:highlight w:val="yellow"/>
                <w:lang w:val="fr-FR"/>
              </w:rPr>
            </w:pPr>
            <w:r>
              <w:rPr>
                <w:lang w:val="fr-FR"/>
              </w:rPr>
              <w:t xml:space="preserve">NB : La méthode de calcul basée sur les données MODIS </w:t>
            </w:r>
            <w:r w:rsidRPr="00370E3D">
              <w:rPr>
                <w:lang w:val="fr-FR"/>
              </w:rPr>
              <w:t>n</w:t>
            </w:r>
            <w:r>
              <w:rPr>
                <w:lang w:val="fr-FR"/>
              </w:rPr>
              <w:t xml:space="preserve">’est </w:t>
            </w:r>
            <w:r w:rsidRPr="00370E3D">
              <w:rPr>
                <w:lang w:val="fr-FR"/>
              </w:rPr>
              <w:t>pas adaptée à l’échelle du projet</w:t>
            </w:r>
            <w:r>
              <w:rPr>
                <w:lang w:val="fr-FR"/>
              </w:rPr>
              <w:t>. L’interprétation des données MODIS est aussi limitée par la nature même des données</w:t>
            </w:r>
            <w:r w:rsidRPr="00370E3D">
              <w:rPr>
                <w:lang w:val="fr-FR"/>
              </w:rPr>
              <w:t xml:space="preserve">. D’une part </w:t>
            </w:r>
            <w:r>
              <w:rPr>
                <w:lang w:val="fr-FR"/>
              </w:rPr>
              <w:t>elles</w:t>
            </w:r>
            <w:r w:rsidRPr="00370E3D">
              <w:rPr>
                <w:lang w:val="fr-FR"/>
              </w:rPr>
              <w:t xml:space="preserve"> ne sont disponibles qu’à une résolution de 500m (ce qui rend les données difficilement comparables avec les données de terrain sur </w:t>
            </w:r>
            <w:proofErr w:type="gramStart"/>
            <w:r w:rsidRPr="00370E3D">
              <w:rPr>
                <w:lang w:val="fr-FR"/>
              </w:rPr>
              <w:t>les pare-feu</w:t>
            </w:r>
            <w:proofErr w:type="gramEnd"/>
            <w:r w:rsidRPr="00370E3D">
              <w:rPr>
                <w:lang w:val="fr-FR"/>
              </w:rPr>
              <w:t xml:space="preserve">). D’autre part, la superficie totale brûlée est calculée en additionnant les estimations quotidiennes des superficies brûlées. </w:t>
            </w:r>
            <w:r>
              <w:rPr>
                <w:lang w:val="fr-FR"/>
              </w:rPr>
              <w:t>Ainsi d</w:t>
            </w:r>
            <w:r w:rsidRPr="00370E3D">
              <w:rPr>
                <w:lang w:val="fr-FR"/>
              </w:rPr>
              <w:t xml:space="preserve">es zones brûlées plusieurs jours durant la période considérée seront </w:t>
            </w:r>
            <w:proofErr w:type="gramStart"/>
            <w:r w:rsidRPr="00370E3D">
              <w:rPr>
                <w:lang w:val="fr-FR"/>
              </w:rPr>
              <w:t>comptées</w:t>
            </w:r>
            <w:proofErr w:type="gramEnd"/>
            <w:r w:rsidRPr="00370E3D">
              <w:rPr>
                <w:lang w:val="fr-FR"/>
              </w:rPr>
              <w:t xml:space="preserve"> plusieurs fois.</w:t>
            </w:r>
          </w:p>
        </w:tc>
      </w:tr>
      <w:tr w:rsidR="00C1364E" w:rsidRPr="00D77966" w14:paraId="37EFB8B8" w14:textId="77777777" w:rsidTr="00C1364E">
        <w:trPr>
          <w:trHeight w:val="809"/>
          <w:tblHeader/>
          <w:jc w:val="center"/>
        </w:trPr>
        <w:tc>
          <w:tcPr>
            <w:tcW w:w="1276" w:type="dxa"/>
          </w:tcPr>
          <w:p w14:paraId="373E0B0E" w14:textId="77777777" w:rsidR="00C1364E" w:rsidRPr="00135BB1" w:rsidRDefault="00C1364E" w:rsidP="00C1364E">
            <w:pPr>
              <w:autoSpaceDE w:val="0"/>
              <w:autoSpaceDN w:val="0"/>
              <w:adjustRightInd w:val="0"/>
              <w:spacing w:after="0" w:line="240" w:lineRule="auto"/>
              <w:rPr>
                <w:b/>
                <w:bCs/>
                <w:lang w:val="fr-FR"/>
              </w:rPr>
            </w:pPr>
          </w:p>
        </w:tc>
        <w:tc>
          <w:tcPr>
            <w:tcW w:w="1700" w:type="dxa"/>
            <w:shd w:val="clear" w:color="auto" w:fill="auto"/>
          </w:tcPr>
          <w:p w14:paraId="696DB530" w14:textId="77777777" w:rsidR="00C1364E" w:rsidRPr="00135BB1" w:rsidRDefault="00C1364E" w:rsidP="00C1364E">
            <w:pPr>
              <w:pStyle w:val="Commentaire1"/>
              <w:rPr>
                <w:rFonts w:ascii="Calibri" w:eastAsia="Calibri" w:hAnsi="Calibri" w:cs="Calibri"/>
                <w:b/>
                <w:bCs/>
                <w:color w:val="auto"/>
                <w:kern w:val="0"/>
                <w:sz w:val="22"/>
                <w:lang w:val="fr-FR" w:eastAsia="en-US"/>
              </w:rPr>
            </w:pPr>
            <w:r w:rsidRPr="00135BB1">
              <w:rPr>
                <w:rFonts w:ascii="Calibri" w:eastAsia="Calibri" w:hAnsi="Calibri" w:cs="Calibri"/>
                <w:b/>
                <w:bCs/>
                <w:color w:val="auto"/>
                <w:kern w:val="0"/>
                <w:sz w:val="22"/>
                <w:lang w:val="fr-FR" w:eastAsia="en-US"/>
              </w:rPr>
              <w:t xml:space="preserve">Indicateur 13 </w:t>
            </w:r>
          </w:p>
          <w:p w14:paraId="623AF5D2" w14:textId="30CCD95A" w:rsidR="00C1364E" w:rsidRPr="00135BB1" w:rsidRDefault="00C1364E" w:rsidP="00C1364E">
            <w:pPr>
              <w:autoSpaceDE w:val="0"/>
              <w:autoSpaceDN w:val="0"/>
              <w:adjustRightInd w:val="0"/>
              <w:spacing w:after="0" w:line="240" w:lineRule="auto"/>
              <w:rPr>
                <w:rFonts w:cs="Calibri"/>
                <w:b/>
                <w:bCs/>
                <w:szCs w:val="20"/>
                <w:lang w:val="fr-FR"/>
              </w:rPr>
            </w:pPr>
            <w:r w:rsidRPr="00135BB1">
              <w:rPr>
                <w:rFonts w:cs="Calibri"/>
                <w:b/>
                <w:bCs/>
                <w:lang w:val="fr-FR"/>
              </w:rPr>
              <w:t xml:space="preserve">a. </w:t>
            </w:r>
            <w:r w:rsidRPr="00135BB1">
              <w:rPr>
                <w:rFonts w:cs="Calibri"/>
                <w:lang w:val="fr-FR"/>
              </w:rPr>
              <w:t>Nombre d’hectares des pâturages et des réserves forestières établis et gérés par les populations locales</w:t>
            </w:r>
          </w:p>
        </w:tc>
        <w:tc>
          <w:tcPr>
            <w:tcW w:w="1842" w:type="dxa"/>
            <w:shd w:val="clear" w:color="auto" w:fill="auto"/>
          </w:tcPr>
          <w:p w14:paraId="4918F69C" w14:textId="77777777" w:rsidR="00C1364E" w:rsidRPr="00135BB1" w:rsidRDefault="00C1364E" w:rsidP="00C1364E">
            <w:pPr>
              <w:spacing w:after="0" w:line="240" w:lineRule="auto"/>
              <w:rPr>
                <w:rFonts w:cs="Calibri"/>
                <w:szCs w:val="20"/>
                <w:lang w:val="fr-FR"/>
              </w:rPr>
            </w:pPr>
            <w:r w:rsidRPr="00135BB1">
              <w:rPr>
                <w:rFonts w:cs="Calibri"/>
                <w:szCs w:val="20"/>
                <w:lang w:val="fr-FR"/>
              </w:rPr>
              <w:t>175</w:t>
            </w:r>
            <w:r>
              <w:rPr>
                <w:rFonts w:cs="Calibri"/>
                <w:szCs w:val="20"/>
                <w:lang w:val="fr-FR"/>
              </w:rPr>
              <w:t xml:space="preserve"> </w:t>
            </w:r>
            <w:r w:rsidRPr="00135BB1">
              <w:rPr>
                <w:rFonts w:cs="Calibri"/>
                <w:szCs w:val="20"/>
                <w:lang w:val="fr-FR"/>
              </w:rPr>
              <w:t>000</w:t>
            </w:r>
            <w:r w:rsidRPr="00135BB1">
              <w:rPr>
                <w:rStyle w:val="Appelnotedebasdep"/>
                <w:rFonts w:cs="Calibri"/>
                <w:lang w:val="fr-FR"/>
              </w:rPr>
              <w:footnoteReference w:id="15"/>
            </w:r>
          </w:p>
          <w:p w14:paraId="5DB989D3" w14:textId="77777777" w:rsidR="00C1364E" w:rsidRPr="00135BB1" w:rsidRDefault="00C1364E" w:rsidP="00C1364E">
            <w:pPr>
              <w:spacing w:after="0" w:line="240" w:lineRule="auto"/>
              <w:rPr>
                <w:rFonts w:cs="Calibri"/>
                <w:szCs w:val="20"/>
                <w:lang w:val="fr-FR"/>
              </w:rPr>
            </w:pPr>
          </w:p>
          <w:p w14:paraId="0AF55C0C" w14:textId="77777777" w:rsidR="00C1364E" w:rsidRPr="00135BB1" w:rsidRDefault="00C1364E" w:rsidP="00C1364E">
            <w:pPr>
              <w:autoSpaceDE w:val="0"/>
              <w:autoSpaceDN w:val="0"/>
              <w:adjustRightInd w:val="0"/>
              <w:spacing w:after="0" w:line="240" w:lineRule="auto"/>
              <w:rPr>
                <w:rFonts w:cs="Calibri"/>
                <w:szCs w:val="20"/>
                <w:lang w:val="fr-FR" w:eastAsia="zh-CN"/>
              </w:rPr>
            </w:pPr>
          </w:p>
        </w:tc>
        <w:tc>
          <w:tcPr>
            <w:tcW w:w="1135" w:type="dxa"/>
            <w:shd w:val="clear" w:color="auto" w:fill="auto"/>
          </w:tcPr>
          <w:p w14:paraId="5CF9F028" w14:textId="77777777" w:rsidR="00C1364E" w:rsidRPr="00135BB1" w:rsidRDefault="00C1364E" w:rsidP="00C1364E">
            <w:pPr>
              <w:spacing w:after="0" w:line="240" w:lineRule="auto"/>
              <w:rPr>
                <w:rFonts w:cs="Calibri"/>
                <w:bCs/>
                <w:szCs w:val="20"/>
                <w:lang w:val="fr-FR"/>
              </w:rPr>
            </w:pPr>
            <w:r w:rsidRPr="00135BB1">
              <w:rPr>
                <w:rFonts w:cs="Calibri"/>
                <w:bCs/>
                <w:szCs w:val="20"/>
                <w:lang w:val="fr-FR"/>
              </w:rPr>
              <w:t>&gt;=225</w:t>
            </w:r>
            <w:r>
              <w:rPr>
                <w:rFonts w:cs="Calibri"/>
                <w:bCs/>
                <w:szCs w:val="20"/>
                <w:lang w:val="fr-FR"/>
              </w:rPr>
              <w:t xml:space="preserve"> </w:t>
            </w:r>
            <w:r w:rsidRPr="00135BB1">
              <w:rPr>
                <w:rFonts w:cs="Calibri"/>
                <w:bCs/>
                <w:szCs w:val="20"/>
                <w:lang w:val="fr-FR"/>
              </w:rPr>
              <w:t>000</w:t>
            </w:r>
          </w:p>
          <w:p w14:paraId="7B7F266A" w14:textId="77777777" w:rsidR="00C1364E" w:rsidRPr="00135BB1" w:rsidRDefault="00C1364E" w:rsidP="00C1364E">
            <w:pPr>
              <w:spacing w:after="0" w:line="240" w:lineRule="auto"/>
              <w:rPr>
                <w:rFonts w:cs="Calibri"/>
                <w:bCs/>
                <w:szCs w:val="20"/>
                <w:lang w:val="fr-FR"/>
              </w:rPr>
            </w:pPr>
          </w:p>
          <w:p w14:paraId="01D8FB46" w14:textId="77777777" w:rsidR="00C1364E" w:rsidRPr="00135BB1" w:rsidRDefault="00C1364E" w:rsidP="00C1364E">
            <w:pPr>
              <w:spacing w:after="0" w:line="240" w:lineRule="auto"/>
              <w:rPr>
                <w:rFonts w:cs="Calibri"/>
                <w:bCs/>
                <w:szCs w:val="20"/>
                <w:lang w:val="fr-FR"/>
              </w:rPr>
            </w:pPr>
          </w:p>
        </w:tc>
        <w:tc>
          <w:tcPr>
            <w:tcW w:w="2188" w:type="dxa"/>
            <w:gridSpan w:val="2"/>
          </w:tcPr>
          <w:p w14:paraId="7C2C67C5" w14:textId="57F1A253" w:rsidR="00C1364E" w:rsidRPr="00E7277C" w:rsidRDefault="00C1364E" w:rsidP="00C1364E">
            <w:pPr>
              <w:rPr>
                <w:rFonts w:asciiTheme="minorHAnsi" w:hAnsiTheme="minorHAnsi" w:cstheme="minorHAnsi"/>
                <w:szCs w:val="20"/>
                <w:lang w:val="fr-FR"/>
              </w:rPr>
            </w:pPr>
            <w:r w:rsidRPr="00135BB1">
              <w:rPr>
                <w:lang w:val="fr-FR"/>
              </w:rPr>
              <w:t>Rapports PEM sur la GCRN </w:t>
            </w:r>
            <w:r>
              <w:rPr>
                <w:lang w:val="fr-FR"/>
              </w:rPr>
              <w:t>(</w:t>
            </w:r>
            <w:r w:rsidRPr="00A4406A">
              <w:rPr>
                <w:lang w:val="fr-FR"/>
              </w:rPr>
              <w:t>relevé</w:t>
            </w:r>
            <w:r>
              <w:rPr>
                <w:lang w:val="fr-FR"/>
              </w:rPr>
              <w:t>s</w:t>
            </w:r>
            <w:r w:rsidRPr="00A4406A">
              <w:rPr>
                <w:lang w:val="fr-FR"/>
              </w:rPr>
              <w:t xml:space="preserve"> </w:t>
            </w:r>
            <w:proofErr w:type="gramStart"/>
            <w:r w:rsidRPr="00A4406A">
              <w:rPr>
                <w:lang w:val="fr-FR"/>
              </w:rPr>
              <w:t>GPS  par</w:t>
            </w:r>
            <w:proofErr w:type="gramEnd"/>
            <w:r w:rsidRPr="00A4406A">
              <w:rPr>
                <w:lang w:val="fr-FR"/>
              </w:rPr>
              <w:t xml:space="preserve"> les promoteurs, les éco</w:t>
            </w:r>
            <w:r>
              <w:rPr>
                <w:lang w:val="fr-FR"/>
              </w:rPr>
              <w:t>-</w:t>
            </w:r>
            <w:r w:rsidRPr="00A4406A">
              <w:rPr>
                <w:lang w:val="fr-FR"/>
              </w:rPr>
              <w:t>gardes et les animateurs) ; sur la base des initiatives GRN financées par le projet et non financées par le projet</w:t>
            </w:r>
            <w:r>
              <w:rPr>
                <w:lang w:val="fr-FR"/>
              </w:rPr>
              <w:t>.</w:t>
            </w:r>
          </w:p>
        </w:tc>
        <w:tc>
          <w:tcPr>
            <w:tcW w:w="3542" w:type="dxa"/>
            <w:shd w:val="clear" w:color="auto" w:fill="auto"/>
          </w:tcPr>
          <w:p w14:paraId="4E95EB60" w14:textId="6BED20B1" w:rsidR="00C1364E" w:rsidRPr="0014503B" w:rsidRDefault="00C1364E" w:rsidP="00C1364E">
            <w:pPr>
              <w:autoSpaceDE w:val="0"/>
              <w:autoSpaceDN w:val="0"/>
              <w:adjustRightInd w:val="0"/>
              <w:spacing w:after="0" w:line="240" w:lineRule="auto"/>
              <w:rPr>
                <w:lang w:val="fr-FR"/>
              </w:rPr>
            </w:pPr>
            <w:r>
              <w:rPr>
                <w:lang w:val="fr-FR"/>
              </w:rPr>
              <w:t>38 191 ha</w:t>
            </w:r>
            <w:r>
              <w:rPr>
                <w:rStyle w:val="Appelnotedebasdep"/>
                <w:lang w:val="fr-FR"/>
              </w:rPr>
              <w:footnoteReference w:id="16"/>
            </w:r>
          </w:p>
        </w:tc>
        <w:tc>
          <w:tcPr>
            <w:tcW w:w="3055" w:type="dxa"/>
          </w:tcPr>
          <w:p w14:paraId="6873A78D" w14:textId="03002245" w:rsidR="00C1364E" w:rsidRDefault="00C1364E" w:rsidP="00C1364E">
            <w:pPr>
              <w:spacing w:after="0" w:line="240" w:lineRule="auto"/>
              <w:rPr>
                <w:lang w:val="fr-FR"/>
              </w:rPr>
            </w:pPr>
            <w:r>
              <w:rPr>
                <w:lang w:val="fr-FR"/>
              </w:rPr>
              <w:t xml:space="preserve">En bonne voie. </w:t>
            </w:r>
          </w:p>
        </w:tc>
      </w:tr>
      <w:tr w:rsidR="00C1364E" w:rsidRPr="00B12AE6" w14:paraId="17B9BEDD" w14:textId="77777777" w:rsidTr="00C1364E">
        <w:trPr>
          <w:trHeight w:val="809"/>
          <w:tblHeader/>
          <w:jc w:val="center"/>
        </w:trPr>
        <w:tc>
          <w:tcPr>
            <w:tcW w:w="1276" w:type="dxa"/>
          </w:tcPr>
          <w:p w14:paraId="43F15E1E" w14:textId="77777777" w:rsidR="00C1364E" w:rsidRPr="00135BB1" w:rsidRDefault="00C1364E" w:rsidP="00C1364E">
            <w:pPr>
              <w:autoSpaceDE w:val="0"/>
              <w:autoSpaceDN w:val="0"/>
              <w:adjustRightInd w:val="0"/>
              <w:spacing w:after="0" w:line="240" w:lineRule="auto"/>
              <w:rPr>
                <w:b/>
                <w:bCs/>
                <w:lang w:val="fr-FR"/>
              </w:rPr>
            </w:pPr>
          </w:p>
        </w:tc>
        <w:tc>
          <w:tcPr>
            <w:tcW w:w="1700" w:type="dxa"/>
            <w:tcBorders>
              <w:bottom w:val="single" w:sz="4" w:space="0" w:color="auto"/>
            </w:tcBorders>
            <w:shd w:val="clear" w:color="auto" w:fill="auto"/>
          </w:tcPr>
          <w:p w14:paraId="1DB48C74" w14:textId="7FF09E0B" w:rsidR="00C1364E" w:rsidRPr="00135BB1" w:rsidRDefault="00C1364E" w:rsidP="00C1364E">
            <w:pPr>
              <w:pStyle w:val="Commentaire1"/>
              <w:rPr>
                <w:rFonts w:ascii="Calibri" w:eastAsia="Calibri" w:hAnsi="Calibri" w:cs="Calibri"/>
                <w:b/>
                <w:bCs/>
                <w:color w:val="auto"/>
                <w:kern w:val="0"/>
                <w:sz w:val="22"/>
                <w:lang w:val="fr-FR" w:eastAsia="en-US"/>
              </w:rPr>
            </w:pPr>
            <w:r w:rsidRPr="00135BB1">
              <w:rPr>
                <w:rFonts w:ascii="Calibri" w:hAnsi="Calibri" w:cs="Calibri"/>
                <w:b/>
                <w:sz w:val="22"/>
                <w:szCs w:val="22"/>
                <w:lang w:val="fr-FR"/>
              </w:rPr>
              <w:t>b.</w:t>
            </w:r>
            <w:r w:rsidRPr="00135BB1">
              <w:rPr>
                <w:rFonts w:ascii="Calibri" w:hAnsi="Calibri" w:cs="Calibri"/>
                <w:bCs/>
                <w:sz w:val="22"/>
                <w:szCs w:val="22"/>
                <w:lang w:val="fr-FR"/>
              </w:rPr>
              <w:t xml:space="preserve"> Nombre d’hectares mis en œuvre dans le cadre des plans communautaires de gestion des ressources naturelles mis en œuvre (à l’exclusion de la superficie des réserves de pâturage)</w:t>
            </w:r>
          </w:p>
        </w:tc>
        <w:tc>
          <w:tcPr>
            <w:tcW w:w="1842" w:type="dxa"/>
            <w:shd w:val="clear" w:color="auto" w:fill="auto"/>
          </w:tcPr>
          <w:p w14:paraId="327CF2AB" w14:textId="4CEBFC50" w:rsidR="00C1364E" w:rsidRPr="00135BB1" w:rsidRDefault="00C1364E" w:rsidP="00C1364E">
            <w:pPr>
              <w:spacing w:after="0" w:line="240" w:lineRule="auto"/>
              <w:rPr>
                <w:rFonts w:cs="Calibri"/>
                <w:szCs w:val="20"/>
                <w:lang w:val="fr-FR"/>
              </w:rPr>
            </w:pPr>
            <w:r w:rsidRPr="00135BB1">
              <w:rPr>
                <w:rFonts w:cs="Calibri"/>
                <w:szCs w:val="20"/>
                <w:lang w:val="fr-FR"/>
              </w:rPr>
              <w:t>0</w:t>
            </w:r>
          </w:p>
        </w:tc>
        <w:tc>
          <w:tcPr>
            <w:tcW w:w="1135" w:type="dxa"/>
            <w:shd w:val="clear" w:color="auto" w:fill="auto"/>
          </w:tcPr>
          <w:p w14:paraId="7E764A42" w14:textId="4B85365A" w:rsidR="00C1364E" w:rsidRPr="00135BB1" w:rsidRDefault="00C1364E" w:rsidP="00C1364E">
            <w:pPr>
              <w:spacing w:after="0" w:line="240" w:lineRule="auto"/>
              <w:rPr>
                <w:rFonts w:cs="Calibri"/>
                <w:bCs/>
                <w:szCs w:val="20"/>
                <w:lang w:val="fr-FR"/>
              </w:rPr>
            </w:pPr>
            <w:r w:rsidRPr="00135BB1">
              <w:rPr>
                <w:rFonts w:cs="Calibri"/>
                <w:bCs/>
                <w:color w:val="000000"/>
                <w:szCs w:val="20"/>
                <w:lang w:val="fr-FR"/>
              </w:rPr>
              <w:t>&gt;=222</w:t>
            </w:r>
            <w:r>
              <w:rPr>
                <w:rFonts w:cs="Calibri"/>
                <w:bCs/>
                <w:color w:val="000000"/>
                <w:szCs w:val="20"/>
                <w:lang w:val="fr-FR"/>
              </w:rPr>
              <w:t xml:space="preserve"> </w:t>
            </w:r>
            <w:r w:rsidRPr="00135BB1">
              <w:rPr>
                <w:rFonts w:cs="Calibri"/>
                <w:bCs/>
                <w:color w:val="000000"/>
                <w:szCs w:val="20"/>
                <w:lang w:val="fr-FR"/>
              </w:rPr>
              <w:t>000</w:t>
            </w:r>
            <w:r w:rsidRPr="00135BB1">
              <w:rPr>
                <w:rStyle w:val="Appelnotedebasdep"/>
                <w:rFonts w:cs="Calibri"/>
                <w:bCs/>
                <w:color w:val="000000"/>
                <w:lang w:val="fr-FR"/>
              </w:rPr>
              <w:footnoteReference w:id="17"/>
            </w:r>
          </w:p>
        </w:tc>
        <w:tc>
          <w:tcPr>
            <w:tcW w:w="2188" w:type="dxa"/>
            <w:gridSpan w:val="2"/>
          </w:tcPr>
          <w:p w14:paraId="1B0BB266" w14:textId="77777777" w:rsidR="00C1364E" w:rsidRPr="00135BB1" w:rsidRDefault="00C1364E" w:rsidP="00C1364E">
            <w:pPr>
              <w:rPr>
                <w:lang w:val="fr-FR"/>
              </w:rPr>
            </w:pPr>
          </w:p>
        </w:tc>
        <w:tc>
          <w:tcPr>
            <w:tcW w:w="3542" w:type="dxa"/>
            <w:shd w:val="clear" w:color="auto" w:fill="auto"/>
          </w:tcPr>
          <w:p w14:paraId="2AC7C69A" w14:textId="4A64E385" w:rsidR="00C1364E" w:rsidRDefault="00C1364E" w:rsidP="00C1364E">
            <w:pPr>
              <w:autoSpaceDE w:val="0"/>
              <w:autoSpaceDN w:val="0"/>
              <w:adjustRightInd w:val="0"/>
              <w:spacing w:after="0" w:line="240" w:lineRule="auto"/>
              <w:rPr>
                <w:lang w:val="fr-FR"/>
              </w:rPr>
            </w:pPr>
            <w:r w:rsidRPr="00FF002D">
              <w:rPr>
                <w:lang w:val="fr-FR"/>
              </w:rPr>
              <w:t>0</w:t>
            </w:r>
          </w:p>
        </w:tc>
        <w:tc>
          <w:tcPr>
            <w:tcW w:w="3055" w:type="dxa"/>
          </w:tcPr>
          <w:p w14:paraId="4D1AC9BA" w14:textId="1B794095" w:rsidR="00C1364E" w:rsidRDefault="00C1364E" w:rsidP="00C1364E">
            <w:pPr>
              <w:spacing w:after="0" w:line="240" w:lineRule="auto"/>
              <w:rPr>
                <w:lang w:val="fr-FR"/>
              </w:rPr>
            </w:pPr>
            <w:r w:rsidRPr="00A4406A">
              <w:rPr>
                <w:lang w:val="fr-FR"/>
              </w:rPr>
              <w:t>La mise en œuvre des plans communaux de GRN n’a pas encore démarré. Elle démarrera avec le déclenchement du processus de financement de la mise en œuvre des plans</w:t>
            </w:r>
            <w:r>
              <w:rPr>
                <w:lang w:val="fr-FR"/>
              </w:rPr>
              <w:t xml:space="preserve"> en 2023.</w:t>
            </w:r>
          </w:p>
        </w:tc>
      </w:tr>
    </w:tbl>
    <w:p w14:paraId="3B218CEF" w14:textId="77777777" w:rsidR="004E2048" w:rsidRPr="00C1364E" w:rsidRDefault="004E2048">
      <w:pPr>
        <w:rPr>
          <w:lang w:val="fr-FR"/>
        </w:rPr>
      </w:pPr>
    </w:p>
    <w:tbl>
      <w:tblPr>
        <w:tblW w:w="14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3"/>
        <w:gridCol w:w="1698"/>
        <w:gridCol w:w="1843"/>
        <w:gridCol w:w="1135"/>
        <w:gridCol w:w="2189"/>
        <w:gridCol w:w="3544"/>
        <w:gridCol w:w="3056"/>
      </w:tblGrid>
      <w:tr w:rsidR="00C1364E" w:rsidRPr="00B12AE6" w14:paraId="588802AF" w14:textId="77777777" w:rsidTr="00A83512">
        <w:trPr>
          <w:trHeight w:val="1966"/>
          <w:tblHeader/>
          <w:jc w:val="center"/>
        </w:trPr>
        <w:tc>
          <w:tcPr>
            <w:tcW w:w="1273" w:type="dxa"/>
            <w:tcBorders>
              <w:bottom w:val="single" w:sz="4" w:space="0" w:color="auto"/>
            </w:tcBorders>
          </w:tcPr>
          <w:p w14:paraId="31D83DE7" w14:textId="77777777" w:rsidR="00C1364E" w:rsidRPr="00135BB1" w:rsidRDefault="00C1364E" w:rsidP="00A83512">
            <w:pPr>
              <w:autoSpaceDE w:val="0"/>
              <w:autoSpaceDN w:val="0"/>
              <w:adjustRightInd w:val="0"/>
              <w:spacing w:after="0" w:line="240" w:lineRule="auto"/>
              <w:rPr>
                <w:rFonts w:cs="Calibri"/>
                <w:bCs/>
                <w:szCs w:val="20"/>
                <w:lang w:val="fr-FR"/>
              </w:rPr>
            </w:pPr>
            <w:r w:rsidRPr="005165D8">
              <w:rPr>
                <w:rFonts w:cs="Calibri"/>
                <w:b/>
                <w:szCs w:val="20"/>
                <w:lang w:val="fr-FR"/>
              </w:rPr>
              <w:lastRenderedPageBreak/>
              <w:t>Produit 4 :</w:t>
            </w:r>
            <w:r w:rsidRPr="005165D8">
              <w:rPr>
                <w:rFonts w:cs="Calibri"/>
                <w:bCs/>
                <w:szCs w:val="20"/>
                <w:lang w:val="fr-FR"/>
              </w:rPr>
              <w:t xml:space="preserve"> Les leçons apprises par le projet, ainsi que l’intégration des considérations de parité hommes-femmes, à travers le S &amp; E participatif sont utilisées pour lutter contre le braconnage et l’IWT aux niveaux national et international</w:t>
            </w:r>
          </w:p>
        </w:tc>
        <w:tc>
          <w:tcPr>
            <w:tcW w:w="1698" w:type="dxa"/>
            <w:tcBorders>
              <w:bottom w:val="single" w:sz="4" w:space="0" w:color="auto"/>
            </w:tcBorders>
            <w:shd w:val="clear" w:color="auto" w:fill="auto"/>
          </w:tcPr>
          <w:p w14:paraId="4FCB82EF" w14:textId="77777777" w:rsidR="00C1364E" w:rsidRPr="00E7277C" w:rsidRDefault="00C1364E" w:rsidP="00A83512">
            <w:pPr>
              <w:spacing w:after="0"/>
              <w:rPr>
                <w:rFonts w:asciiTheme="minorHAnsi" w:hAnsiTheme="minorHAnsi" w:cstheme="minorHAnsi"/>
                <w:szCs w:val="20"/>
                <w:lang w:val="fr-FR"/>
              </w:rPr>
            </w:pPr>
            <w:r w:rsidRPr="00E7277C">
              <w:rPr>
                <w:rFonts w:asciiTheme="minorHAnsi" w:hAnsiTheme="minorHAnsi" w:cstheme="minorHAnsi"/>
                <w:b/>
                <w:szCs w:val="20"/>
                <w:lang w:val="fr-FR"/>
              </w:rPr>
              <w:t>Indicateur</w:t>
            </w:r>
            <w:r>
              <w:rPr>
                <w:rFonts w:asciiTheme="minorHAnsi" w:hAnsiTheme="minorHAnsi" w:cstheme="minorHAnsi" w:hint="eastAsia"/>
                <w:b/>
                <w:szCs w:val="20"/>
                <w:lang w:val="fr-FR"/>
              </w:rPr>
              <w:t> </w:t>
            </w:r>
            <w:r w:rsidRPr="00E7277C">
              <w:rPr>
                <w:rFonts w:asciiTheme="minorHAnsi" w:hAnsiTheme="minorHAnsi" w:cstheme="minorHAnsi"/>
                <w:szCs w:val="20"/>
                <w:lang w:val="fr-FR"/>
              </w:rPr>
              <w:t>15</w:t>
            </w:r>
            <w:r>
              <w:rPr>
                <w:rFonts w:asciiTheme="minorHAnsi" w:hAnsiTheme="minorHAnsi" w:cstheme="minorHAnsi" w:hint="eastAsia"/>
                <w:szCs w:val="20"/>
                <w:lang w:val="fr-FR"/>
              </w:rPr>
              <w:t xml:space="preserve"> : </w:t>
            </w:r>
            <w:r w:rsidRPr="00E7277C">
              <w:rPr>
                <w:rFonts w:asciiTheme="minorHAnsi" w:hAnsiTheme="minorHAnsi" w:cstheme="minorHAnsi"/>
                <w:szCs w:val="20"/>
                <w:lang w:val="fr-FR"/>
              </w:rPr>
              <w:t>% de femmes parmi les participants au projet</w:t>
            </w:r>
          </w:p>
          <w:p w14:paraId="4D6AF79F" w14:textId="77777777" w:rsidR="00C1364E" w:rsidRPr="00E7277C" w:rsidRDefault="00C1364E" w:rsidP="00A83512">
            <w:pPr>
              <w:spacing w:after="0"/>
              <w:rPr>
                <w:rFonts w:asciiTheme="minorHAnsi" w:hAnsiTheme="minorHAnsi" w:cstheme="minorHAnsi"/>
                <w:b/>
                <w:szCs w:val="20"/>
                <w:lang w:val="fr-FR"/>
              </w:rPr>
            </w:pPr>
          </w:p>
        </w:tc>
        <w:tc>
          <w:tcPr>
            <w:tcW w:w="1843" w:type="dxa"/>
            <w:tcBorders>
              <w:bottom w:val="single" w:sz="4" w:space="0" w:color="auto"/>
            </w:tcBorders>
            <w:shd w:val="clear" w:color="auto" w:fill="auto"/>
          </w:tcPr>
          <w:p w14:paraId="1BAA5EB6" w14:textId="77777777" w:rsidR="00C1364E" w:rsidRPr="00135BB1" w:rsidRDefault="00C1364E" w:rsidP="00A83512">
            <w:pPr>
              <w:spacing w:after="0" w:line="240" w:lineRule="auto"/>
              <w:rPr>
                <w:rFonts w:cs="Calibri"/>
                <w:szCs w:val="20"/>
                <w:lang w:val="fr-FR"/>
              </w:rPr>
            </w:pPr>
            <w:r>
              <w:rPr>
                <w:rFonts w:cs="Calibri"/>
                <w:szCs w:val="20"/>
                <w:lang w:val="fr-FR"/>
              </w:rPr>
              <w:t>0</w:t>
            </w:r>
          </w:p>
        </w:tc>
        <w:tc>
          <w:tcPr>
            <w:tcW w:w="1135" w:type="dxa"/>
            <w:tcBorders>
              <w:bottom w:val="single" w:sz="4" w:space="0" w:color="auto"/>
            </w:tcBorders>
            <w:shd w:val="clear" w:color="auto" w:fill="auto"/>
          </w:tcPr>
          <w:p w14:paraId="72003EAF" w14:textId="77777777" w:rsidR="00C1364E" w:rsidRPr="00135BB1" w:rsidRDefault="00C1364E" w:rsidP="00A83512">
            <w:pPr>
              <w:spacing w:after="0" w:line="240" w:lineRule="auto"/>
              <w:rPr>
                <w:rFonts w:cs="Calibri"/>
                <w:bCs/>
                <w:color w:val="000000"/>
                <w:szCs w:val="20"/>
                <w:lang w:val="fr-FR"/>
              </w:rPr>
            </w:pPr>
            <w:r w:rsidRPr="00E7277C">
              <w:rPr>
                <w:rFonts w:asciiTheme="minorHAnsi" w:hAnsiTheme="minorHAnsi" w:cstheme="minorHAnsi"/>
                <w:bCs/>
                <w:szCs w:val="20"/>
                <w:lang w:val="fr-FR"/>
              </w:rPr>
              <w:t>50</w:t>
            </w:r>
            <w:r>
              <w:rPr>
                <w:rFonts w:asciiTheme="minorHAnsi" w:hAnsiTheme="minorHAnsi" w:cstheme="minorHAnsi" w:hint="eastAsia"/>
                <w:bCs/>
                <w:szCs w:val="20"/>
                <w:lang w:val="fr-FR"/>
              </w:rPr>
              <w:t> </w:t>
            </w:r>
            <w:r w:rsidRPr="00E7277C">
              <w:rPr>
                <w:rFonts w:asciiTheme="minorHAnsi" w:hAnsiTheme="minorHAnsi" w:cstheme="minorHAnsi"/>
                <w:bCs/>
                <w:szCs w:val="20"/>
                <w:lang w:val="fr-FR"/>
              </w:rPr>
              <w:t>%</w:t>
            </w:r>
            <w:r w:rsidRPr="00E7277C">
              <w:rPr>
                <w:rStyle w:val="Appelnotedebasdep"/>
                <w:rFonts w:asciiTheme="minorHAnsi" w:hAnsiTheme="minorHAnsi" w:cstheme="minorHAnsi"/>
                <w:bCs/>
                <w:lang w:val="fr-FR"/>
              </w:rPr>
              <w:footnoteReference w:id="18"/>
            </w:r>
          </w:p>
        </w:tc>
        <w:tc>
          <w:tcPr>
            <w:tcW w:w="2189" w:type="dxa"/>
            <w:tcBorders>
              <w:bottom w:val="single" w:sz="4" w:space="0" w:color="auto"/>
            </w:tcBorders>
          </w:tcPr>
          <w:p w14:paraId="0E71C639" w14:textId="77777777" w:rsidR="00C1364E" w:rsidRPr="00135BB1" w:rsidRDefault="00C1364E" w:rsidP="00A83512">
            <w:pPr>
              <w:autoSpaceDE w:val="0"/>
              <w:autoSpaceDN w:val="0"/>
              <w:adjustRightInd w:val="0"/>
              <w:spacing w:after="0" w:line="240" w:lineRule="auto"/>
              <w:rPr>
                <w:lang w:val="fr-FR"/>
              </w:rPr>
            </w:pPr>
            <w:r w:rsidRPr="003C4190">
              <w:rPr>
                <w:lang w:val="fr-FR"/>
              </w:rPr>
              <w:t>Analyse de contenu des rapports de mise en œuvre de la Stratégie de la parité hommes-femmes, entretiens aléatoires avec des femmes locales (Indicateur 15)</w:t>
            </w:r>
          </w:p>
        </w:tc>
        <w:tc>
          <w:tcPr>
            <w:tcW w:w="3544" w:type="dxa"/>
            <w:tcBorders>
              <w:bottom w:val="single" w:sz="4" w:space="0" w:color="auto"/>
            </w:tcBorders>
            <w:shd w:val="clear" w:color="auto" w:fill="auto"/>
          </w:tcPr>
          <w:p w14:paraId="3DCE3BEB" w14:textId="77777777" w:rsidR="00C1364E" w:rsidRPr="00FF002D" w:rsidRDefault="00C1364E" w:rsidP="00A83512">
            <w:pPr>
              <w:spacing w:after="0" w:line="240" w:lineRule="auto"/>
              <w:rPr>
                <w:rFonts w:cs="Calibri"/>
                <w:szCs w:val="20"/>
                <w:lang w:val="fr-FR"/>
              </w:rPr>
            </w:pPr>
            <w:r>
              <w:rPr>
                <w:rFonts w:cs="Calibri"/>
                <w:szCs w:val="20"/>
                <w:lang w:val="fr-FR"/>
              </w:rPr>
              <w:t>29%</w:t>
            </w:r>
            <w:r w:rsidRPr="00FF002D">
              <w:rPr>
                <w:rStyle w:val="Appelnotedebasdep"/>
                <w:rFonts w:cs="Calibri"/>
                <w:lang w:val="fr-FR"/>
              </w:rPr>
              <w:footnoteReference w:id="19"/>
            </w:r>
          </w:p>
        </w:tc>
        <w:tc>
          <w:tcPr>
            <w:tcW w:w="3056" w:type="dxa"/>
          </w:tcPr>
          <w:p w14:paraId="2BDD7D97" w14:textId="77777777" w:rsidR="00C1364E" w:rsidRDefault="00C1364E" w:rsidP="00A83512">
            <w:pPr>
              <w:spacing w:after="0" w:line="240" w:lineRule="auto"/>
              <w:rPr>
                <w:lang w:val="fr-FR"/>
              </w:rPr>
            </w:pPr>
            <w:r w:rsidRPr="00DF223A">
              <w:rPr>
                <w:lang w:val="fr-FR"/>
              </w:rPr>
              <w:t xml:space="preserve">La stratégie d’engagement communautaire du projet </w:t>
            </w:r>
            <w:r>
              <w:rPr>
                <w:lang w:val="fr-FR"/>
              </w:rPr>
              <w:t xml:space="preserve">est inclusive. Toutes les parties intéressées, tous les groupes sociaux, toutes les sensibilités sont </w:t>
            </w:r>
            <w:proofErr w:type="gramStart"/>
            <w:r>
              <w:rPr>
                <w:lang w:val="fr-FR"/>
              </w:rPr>
              <w:t>impliqués</w:t>
            </w:r>
            <w:proofErr w:type="gramEnd"/>
            <w:r>
              <w:rPr>
                <w:lang w:val="fr-FR"/>
              </w:rPr>
              <w:t xml:space="preserve">. </w:t>
            </w:r>
            <w:r w:rsidRPr="00DF223A">
              <w:rPr>
                <w:lang w:val="fr-FR"/>
              </w:rPr>
              <w:t>Ainsi, les femmes sont impliquées dans les activités du projet au même titre que les hommes,</w:t>
            </w:r>
            <w:r>
              <w:rPr>
                <w:lang w:val="fr-FR"/>
              </w:rPr>
              <w:t xml:space="preserve"> dans le respect de la culture locale. Cependant, la situation sécuritaire actuelle impose certaines limites. Par ex.</w:t>
            </w:r>
            <w:r w:rsidRPr="00DF223A">
              <w:rPr>
                <w:lang w:val="fr-FR"/>
              </w:rPr>
              <w:t xml:space="preserve"> l’imposition de la charia par les groupes extrémistes actifs dans la zone </w:t>
            </w:r>
            <w:r>
              <w:rPr>
                <w:lang w:val="fr-FR"/>
              </w:rPr>
              <w:t xml:space="preserve">d’intervention </w:t>
            </w:r>
            <w:r w:rsidRPr="00DF223A">
              <w:rPr>
                <w:lang w:val="fr-FR"/>
              </w:rPr>
              <w:t>limite l</w:t>
            </w:r>
            <w:r>
              <w:rPr>
                <w:lang w:val="fr-FR"/>
              </w:rPr>
              <w:t>a</w:t>
            </w:r>
            <w:r w:rsidRPr="00DF223A">
              <w:rPr>
                <w:lang w:val="fr-FR"/>
              </w:rPr>
              <w:t xml:space="preserve"> participation</w:t>
            </w:r>
            <w:r>
              <w:rPr>
                <w:lang w:val="fr-FR"/>
              </w:rPr>
              <w:t xml:space="preserve"> des femmes</w:t>
            </w:r>
            <w:r w:rsidRPr="00DF223A">
              <w:rPr>
                <w:lang w:val="fr-FR"/>
              </w:rPr>
              <w:t>, notamment aux réunions.</w:t>
            </w:r>
            <w:r>
              <w:rPr>
                <w:lang w:val="fr-FR"/>
              </w:rPr>
              <w:t xml:space="preserve"> Pour cette raison, et par souci de sécurité en général, certaines activités (notamment certaines réunions) sont délocalisées en ville. </w:t>
            </w:r>
          </w:p>
          <w:p w14:paraId="6B27CDD0" w14:textId="77777777" w:rsidR="00C1364E" w:rsidRDefault="00C1364E" w:rsidP="00A83512">
            <w:pPr>
              <w:spacing w:after="0" w:line="240" w:lineRule="auto"/>
              <w:rPr>
                <w:lang w:val="fr-FR"/>
              </w:rPr>
            </w:pPr>
          </w:p>
          <w:p w14:paraId="710F9B19" w14:textId="77777777" w:rsidR="00C1364E" w:rsidRDefault="00C1364E" w:rsidP="00A83512">
            <w:pPr>
              <w:spacing w:after="0" w:line="240" w:lineRule="auto"/>
              <w:rPr>
                <w:lang w:val="fr-FR"/>
              </w:rPr>
            </w:pPr>
            <w:r>
              <w:rPr>
                <w:lang w:val="fr-FR"/>
              </w:rPr>
              <w:t>Par ailleurs, ce pourcentage englobe toutes les activités de manière globale et ne reflète pas nécessairement le pourcentage plus élevé de femmes dans des activités spécifiques telles que les AGR (voir section genre et équité) où les femmes représentent actuellement près de 55% des participants.</w:t>
            </w:r>
          </w:p>
          <w:p w14:paraId="7EBDF5B4" w14:textId="77777777" w:rsidR="00C1364E" w:rsidRPr="003D4CFE" w:rsidRDefault="00C1364E" w:rsidP="00A83512">
            <w:pPr>
              <w:spacing w:after="0" w:line="240" w:lineRule="auto"/>
              <w:rPr>
                <w:highlight w:val="yellow"/>
                <w:lang w:val="fr-FR"/>
              </w:rPr>
            </w:pPr>
          </w:p>
        </w:tc>
      </w:tr>
    </w:tbl>
    <w:p w14:paraId="0A516E9D" w14:textId="77777777" w:rsidR="00D1721E" w:rsidRPr="00135BB1" w:rsidRDefault="00D1721E" w:rsidP="0070720F">
      <w:pPr>
        <w:rPr>
          <w:color w:val="000000"/>
          <w:lang w:val="fr-FR"/>
        </w:rPr>
      </w:pPr>
    </w:p>
    <w:tbl>
      <w:tblPr>
        <w:tblW w:w="14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8"/>
      </w:tblGrid>
      <w:tr w:rsidR="005A58F4" w:rsidRPr="00B12AE6" w14:paraId="17C3DC75" w14:textId="77777777" w:rsidTr="00714321">
        <w:trPr>
          <w:trHeight w:val="4578"/>
          <w:tblHeader/>
          <w:jc w:val="center"/>
        </w:trPr>
        <w:tc>
          <w:tcPr>
            <w:tcW w:w="14738" w:type="dxa"/>
            <w:shd w:val="clear" w:color="auto" w:fill="auto"/>
          </w:tcPr>
          <w:p w14:paraId="7C4C4DAF" w14:textId="2185EC0D" w:rsidR="009F739D" w:rsidRPr="00507075" w:rsidRDefault="00722194" w:rsidP="00CC79B0">
            <w:pPr>
              <w:pStyle w:val="Composante"/>
            </w:pPr>
            <w:r w:rsidRPr="00507075">
              <w:lastRenderedPageBreak/>
              <w:t xml:space="preserve">COMPOSANTE </w:t>
            </w:r>
            <w:r>
              <w:t>2</w:t>
            </w:r>
            <w:r w:rsidRPr="00507075">
              <w:t xml:space="preserve"> : </w:t>
            </w:r>
            <w:r w:rsidRPr="001F0DB1">
              <w:t>PROTEGER LES ELEPHANTS DU GOURMA CONTRE LE BRACONNAGE ET SECURISER LES VOIES MIGRATOIRES SAISONNIERES ET LES HABITATS CLES</w:t>
            </w:r>
          </w:p>
          <w:p w14:paraId="164D2A9D" w14:textId="77777777" w:rsidR="009F739D" w:rsidRDefault="009F739D" w:rsidP="00CC79B0">
            <w:pPr>
              <w:pStyle w:val="Sansinterligne"/>
              <w:shd w:val="clear" w:color="auto" w:fill="DEEAF6" w:themeFill="accent5" w:themeFillTint="33"/>
              <w:spacing w:before="120" w:after="120"/>
              <w:jc w:val="both"/>
              <w:rPr>
                <w:rFonts w:cstheme="minorHAnsi"/>
                <w:b/>
                <w:bCs/>
                <w:lang w:val="fr-FR"/>
              </w:rPr>
            </w:pPr>
            <w:r w:rsidRPr="00FD402A">
              <w:rPr>
                <w:rFonts w:cstheme="minorHAnsi"/>
                <w:b/>
                <w:bCs/>
                <w:lang w:val="fr-FR"/>
              </w:rPr>
              <w:t>Résultat 2.1. L’unité anti-braconnage pour la protection des éléphants du Gourma est renforcée avec du personnel, de l’équipement et des fonds opérationnels supplémentaires</w:t>
            </w:r>
            <w:r>
              <w:rPr>
                <w:rFonts w:cstheme="minorHAnsi"/>
                <w:b/>
                <w:bCs/>
                <w:lang w:val="fr-FR"/>
              </w:rPr>
              <w:t xml:space="preserve"> ; </w:t>
            </w:r>
            <w:r w:rsidRPr="00B20286">
              <w:rPr>
                <w:rFonts w:cstheme="minorHAnsi"/>
                <w:b/>
                <w:bCs/>
                <w:lang w:val="fr-FR"/>
              </w:rPr>
              <w:t>Résultat 2.2. L’unité anti-braconnage bénéficie d’un encadrement, d’une formation avancée et d’un soutien à la surveillance</w:t>
            </w:r>
          </w:p>
          <w:p w14:paraId="0AC25E72" w14:textId="74B4BE9F" w:rsidR="00683DE6" w:rsidRPr="00001E55" w:rsidRDefault="00683DE6" w:rsidP="00683DE6">
            <w:pPr>
              <w:pStyle w:val="Sansinterligne"/>
              <w:spacing w:before="120" w:after="120"/>
              <w:jc w:val="both"/>
              <w:rPr>
                <w:rFonts w:cstheme="minorHAnsi"/>
                <w:lang w:val="fr-FR"/>
              </w:rPr>
            </w:pPr>
            <w:r w:rsidRPr="00001E55">
              <w:rPr>
                <w:rFonts w:cstheme="minorHAnsi"/>
                <w:lang w:val="fr-FR"/>
              </w:rPr>
              <w:t>La période de rapport</w:t>
            </w:r>
            <w:r>
              <w:rPr>
                <w:rFonts w:cstheme="minorHAnsi"/>
                <w:lang w:val="fr-FR"/>
              </w:rPr>
              <w:t>age</w:t>
            </w:r>
            <w:r w:rsidRPr="00001E55">
              <w:rPr>
                <w:rFonts w:cstheme="minorHAnsi"/>
                <w:lang w:val="fr-FR"/>
              </w:rPr>
              <w:t xml:space="preserve"> a été dominée par les activités associées au transfert d</w:t>
            </w:r>
            <w:r>
              <w:rPr>
                <w:rFonts w:cstheme="minorHAnsi"/>
                <w:lang w:val="fr-FR"/>
              </w:rPr>
              <w:t>es</w:t>
            </w:r>
            <w:r w:rsidRPr="00001E55">
              <w:rPr>
                <w:rFonts w:cstheme="minorHAnsi"/>
                <w:lang w:val="fr-FR"/>
              </w:rPr>
              <w:t xml:space="preserve"> responsabilité</w:t>
            </w:r>
            <w:r>
              <w:rPr>
                <w:rFonts w:cstheme="minorHAnsi"/>
                <w:lang w:val="fr-FR"/>
              </w:rPr>
              <w:t>s</w:t>
            </w:r>
            <w:r w:rsidRPr="00001E55">
              <w:rPr>
                <w:rFonts w:cstheme="minorHAnsi"/>
                <w:lang w:val="fr-FR"/>
              </w:rPr>
              <w:t xml:space="preserve"> </w:t>
            </w:r>
            <w:r>
              <w:rPr>
                <w:rFonts w:cstheme="minorHAnsi"/>
                <w:lang w:val="fr-FR"/>
              </w:rPr>
              <w:t>pour la gestion de</w:t>
            </w:r>
            <w:r w:rsidRPr="00001E55">
              <w:rPr>
                <w:rFonts w:cstheme="minorHAnsi"/>
                <w:lang w:val="fr-FR"/>
              </w:rPr>
              <w:t xml:space="preserve"> l'unité anti-braconnage au gouvernement malien</w:t>
            </w:r>
            <w:r>
              <w:rPr>
                <w:rFonts w:cstheme="minorHAnsi"/>
                <w:lang w:val="fr-FR"/>
              </w:rPr>
              <w:t xml:space="preserve">, ce qui </w:t>
            </w:r>
            <w:r w:rsidRPr="00001E55">
              <w:rPr>
                <w:rFonts w:cstheme="minorHAnsi"/>
                <w:lang w:val="fr-FR"/>
              </w:rPr>
              <w:t xml:space="preserve">a coïncidé avec </w:t>
            </w:r>
            <w:r>
              <w:rPr>
                <w:rFonts w:cstheme="minorHAnsi"/>
                <w:lang w:val="fr-FR"/>
              </w:rPr>
              <w:t>la nomination d’une nouvelle directrice à la tête</w:t>
            </w:r>
            <w:r w:rsidRPr="00001E55">
              <w:rPr>
                <w:rFonts w:cstheme="minorHAnsi"/>
                <w:lang w:val="fr-FR"/>
              </w:rPr>
              <w:t xml:space="preserve"> de la DNEF</w:t>
            </w:r>
            <w:r>
              <w:rPr>
                <w:rFonts w:cstheme="minorHAnsi"/>
                <w:lang w:val="fr-FR"/>
              </w:rPr>
              <w:t xml:space="preserve"> en février 2022. Lors d’une réunion avec le ministre </w:t>
            </w:r>
            <w:r w:rsidR="00033123">
              <w:rPr>
                <w:rFonts w:cstheme="minorHAnsi"/>
                <w:lang w:val="fr-FR"/>
              </w:rPr>
              <w:t>ce dernier</w:t>
            </w:r>
            <w:r>
              <w:rPr>
                <w:rFonts w:cstheme="minorHAnsi"/>
                <w:lang w:val="fr-FR"/>
              </w:rPr>
              <w:t xml:space="preserve"> a</w:t>
            </w:r>
            <w:r w:rsidRPr="00001E55">
              <w:rPr>
                <w:rFonts w:cstheme="minorHAnsi"/>
                <w:lang w:val="fr-FR"/>
              </w:rPr>
              <w:t xml:space="preserve"> réaffirmé son soutien</w:t>
            </w:r>
            <w:r>
              <w:rPr>
                <w:rFonts w:cstheme="minorHAnsi"/>
                <w:lang w:val="fr-FR"/>
              </w:rPr>
              <w:t>, tout comme la</w:t>
            </w:r>
            <w:r w:rsidRPr="00001E55">
              <w:rPr>
                <w:rFonts w:cstheme="minorHAnsi"/>
                <w:lang w:val="fr-FR"/>
              </w:rPr>
              <w:t xml:space="preserve"> nouvelle directrice </w:t>
            </w:r>
            <w:r>
              <w:rPr>
                <w:rFonts w:cstheme="minorHAnsi"/>
                <w:lang w:val="fr-FR"/>
              </w:rPr>
              <w:t>qui s’est aussi montrée très favorable au</w:t>
            </w:r>
            <w:r w:rsidRPr="00001E55">
              <w:rPr>
                <w:rFonts w:cstheme="minorHAnsi"/>
                <w:lang w:val="fr-FR"/>
              </w:rPr>
              <w:t xml:space="preserve"> processus</w:t>
            </w:r>
            <w:r>
              <w:rPr>
                <w:rFonts w:cstheme="minorHAnsi"/>
                <w:lang w:val="fr-FR"/>
              </w:rPr>
              <w:t xml:space="preserve"> de transition.</w:t>
            </w:r>
            <w:r w:rsidRPr="00001E55">
              <w:rPr>
                <w:rFonts w:cstheme="minorHAnsi"/>
                <w:lang w:val="fr-FR"/>
              </w:rPr>
              <w:t xml:space="preserve"> Cependant, son emploi du temps chargé a fait que la formation a été reportée à plusieurs reprises</w:t>
            </w:r>
            <w:r>
              <w:rPr>
                <w:rFonts w:cstheme="minorHAnsi"/>
                <w:lang w:val="fr-FR"/>
              </w:rPr>
              <w:t>, avant d’être finalement</w:t>
            </w:r>
            <w:r w:rsidRPr="00001E55">
              <w:rPr>
                <w:rFonts w:cstheme="minorHAnsi"/>
                <w:lang w:val="fr-FR"/>
              </w:rPr>
              <w:t xml:space="preserve"> programmés pour le mois de mai</w:t>
            </w:r>
            <w:r>
              <w:rPr>
                <w:rFonts w:cstheme="minorHAnsi"/>
                <w:lang w:val="fr-FR"/>
              </w:rPr>
              <w:t>. Puis, l</w:t>
            </w:r>
            <w:r w:rsidRPr="00001E55">
              <w:rPr>
                <w:rFonts w:cstheme="minorHAnsi"/>
                <w:lang w:val="fr-FR"/>
              </w:rPr>
              <w:t xml:space="preserve">a semaine où la formation devait commencer, le formateur principal de Chengeta a été hospitalisé avec </w:t>
            </w:r>
            <w:r>
              <w:rPr>
                <w:rFonts w:cstheme="minorHAnsi"/>
                <w:lang w:val="fr-FR"/>
              </w:rPr>
              <w:t xml:space="preserve">pour </w:t>
            </w:r>
            <w:r w:rsidRPr="00001E55">
              <w:rPr>
                <w:rFonts w:cstheme="minorHAnsi"/>
                <w:lang w:val="fr-FR"/>
              </w:rPr>
              <w:t xml:space="preserve">instruction de se reposer pendant quatre semaines. Heureusement, Chengeta s'est adapté </w:t>
            </w:r>
            <w:r>
              <w:rPr>
                <w:rFonts w:cstheme="minorHAnsi"/>
                <w:lang w:val="fr-FR"/>
              </w:rPr>
              <w:t xml:space="preserve">en trouvant rapidement un </w:t>
            </w:r>
            <w:r w:rsidRPr="00714321">
              <w:rPr>
                <w:rFonts w:cstheme="minorHAnsi"/>
                <w:lang w:val="fr-FR"/>
              </w:rPr>
              <w:t>remplaçant</w:t>
            </w:r>
            <w:r>
              <w:rPr>
                <w:rFonts w:cstheme="minorHAnsi"/>
                <w:lang w:val="fr-FR"/>
              </w:rPr>
              <w:t xml:space="preserve"> </w:t>
            </w:r>
            <w:r w:rsidRPr="00001E55">
              <w:rPr>
                <w:rFonts w:cstheme="minorHAnsi"/>
                <w:lang w:val="fr-FR"/>
              </w:rPr>
              <w:t>et la formation a pu commencer la semaine suivante.</w:t>
            </w:r>
          </w:p>
          <w:p w14:paraId="5DADEA9E" w14:textId="1903C192" w:rsidR="00683DE6" w:rsidRPr="00CC79B0" w:rsidRDefault="00CC79B0" w:rsidP="00CC79B0">
            <w:pPr>
              <w:pStyle w:val="Sansinterligne"/>
              <w:spacing w:before="120"/>
              <w:contextualSpacing/>
              <w:jc w:val="both"/>
              <w:rPr>
                <w:rStyle w:val="Accentuationlgre"/>
              </w:rPr>
            </w:pPr>
            <w:r w:rsidRPr="00CC79B0">
              <w:rPr>
                <w:rStyle w:val="Accentuationlgre"/>
              </w:rPr>
              <w:t xml:space="preserve">- </w:t>
            </w:r>
            <w:r w:rsidR="00683DE6" w:rsidRPr="00CC79B0">
              <w:rPr>
                <w:rStyle w:val="Accentuationlgre"/>
              </w:rPr>
              <w:t>Formation des formateurs anti-braconnage</w:t>
            </w:r>
          </w:p>
          <w:p w14:paraId="740E99DE" w14:textId="565ABE23" w:rsidR="00683DE6" w:rsidRDefault="00683DE6" w:rsidP="00033123">
            <w:pPr>
              <w:spacing w:after="120" w:line="240" w:lineRule="auto"/>
              <w:jc w:val="both"/>
              <w:rPr>
                <w:rFonts w:cstheme="minorHAnsi"/>
                <w:lang w:val="fr-FR"/>
              </w:rPr>
            </w:pPr>
            <w:r w:rsidRPr="00AC20FF">
              <w:rPr>
                <w:rFonts w:cstheme="minorHAnsi"/>
                <w:lang w:val="fr-FR"/>
              </w:rPr>
              <w:t xml:space="preserve">Le </w:t>
            </w:r>
            <w:r>
              <w:rPr>
                <w:rFonts w:cstheme="minorHAnsi"/>
                <w:lang w:val="fr-FR"/>
              </w:rPr>
              <w:t>stage</w:t>
            </w:r>
            <w:r w:rsidRPr="00AC20FF">
              <w:rPr>
                <w:rFonts w:cstheme="minorHAnsi"/>
                <w:lang w:val="fr-FR"/>
              </w:rPr>
              <w:t xml:space="preserve"> de "formation des formateurs" a débuté le 9 mai</w:t>
            </w:r>
            <w:r>
              <w:rPr>
                <w:rFonts w:cstheme="minorHAnsi"/>
                <w:lang w:val="fr-FR"/>
              </w:rPr>
              <w:t xml:space="preserve">, pour une durée de 8 semaines, </w:t>
            </w:r>
            <w:r w:rsidRPr="00AC20FF">
              <w:rPr>
                <w:rFonts w:cstheme="minorHAnsi"/>
                <w:lang w:val="fr-FR"/>
              </w:rPr>
              <w:t>au Centre de Formation Pratique Forestier de Tabakoro</w:t>
            </w:r>
            <w:r>
              <w:rPr>
                <w:rFonts w:cstheme="minorHAnsi"/>
                <w:lang w:val="fr-FR"/>
              </w:rPr>
              <w:t>,</w:t>
            </w:r>
            <w:r w:rsidRPr="00AC20FF">
              <w:rPr>
                <w:rFonts w:cstheme="minorHAnsi"/>
                <w:lang w:val="fr-FR"/>
              </w:rPr>
              <w:t xml:space="preserve"> à Bamako</w:t>
            </w:r>
            <w:r>
              <w:rPr>
                <w:rFonts w:cstheme="minorHAnsi"/>
                <w:lang w:val="fr-FR"/>
              </w:rPr>
              <w:t xml:space="preserve"> avec 19 stagiaires (14 DNEF, 5 FAMA). Le vingtième stagiaire (DNEF) les a rejoints quelques jours plus tard. </w:t>
            </w:r>
            <w:r w:rsidRPr="00AC20FF">
              <w:rPr>
                <w:rFonts w:cstheme="minorHAnsi"/>
                <w:lang w:val="fr-FR"/>
              </w:rPr>
              <w:t xml:space="preserve">Une cérémonie officielle de lancement a eu lieu le 23 mai en présence du </w:t>
            </w:r>
            <w:r>
              <w:rPr>
                <w:rFonts w:cstheme="minorHAnsi"/>
                <w:lang w:val="fr-FR"/>
              </w:rPr>
              <w:t>m</w:t>
            </w:r>
            <w:r w:rsidRPr="00AC20FF">
              <w:rPr>
                <w:rFonts w:cstheme="minorHAnsi"/>
                <w:lang w:val="fr-FR"/>
              </w:rPr>
              <w:t>inistre de l'Environnement</w:t>
            </w:r>
            <w:r>
              <w:rPr>
                <w:rFonts w:cstheme="minorHAnsi"/>
                <w:lang w:val="fr-FR"/>
              </w:rPr>
              <w:t>, et une cérémonie officielle de</w:t>
            </w:r>
            <w:r w:rsidR="00033123">
              <w:rPr>
                <w:rFonts w:cstheme="minorHAnsi"/>
                <w:lang w:val="fr-FR"/>
              </w:rPr>
              <w:t xml:space="preserve"> clôture et de</w:t>
            </w:r>
            <w:r>
              <w:rPr>
                <w:rFonts w:cstheme="minorHAnsi"/>
                <w:lang w:val="fr-FR"/>
              </w:rPr>
              <w:t xml:space="preserve"> remise des certificats </w:t>
            </w:r>
            <w:r w:rsidR="00033123">
              <w:rPr>
                <w:rFonts w:cstheme="minorHAnsi"/>
                <w:lang w:val="fr-FR"/>
              </w:rPr>
              <w:t>a eu lieu le 7 juillet à l’issue de la formation (coupures de presse disponibles)</w:t>
            </w:r>
            <w:r w:rsidR="00033123" w:rsidRPr="00CD2E51">
              <w:rPr>
                <w:rFonts w:cstheme="minorHAnsi"/>
                <w:lang w:val="fr-FR"/>
              </w:rPr>
              <w:t xml:space="preserve">. </w:t>
            </w:r>
            <w:r w:rsidR="00033123" w:rsidRPr="00CD2E51">
              <w:rPr>
                <w:lang w:val="fr-FR"/>
              </w:rPr>
              <w:t xml:space="preserve">Au total, dix (10) stagiaires ont complété la formation avec succès du début à la fin et ont </w:t>
            </w:r>
            <w:r w:rsidR="00033123">
              <w:rPr>
                <w:lang w:val="fr-FR"/>
              </w:rPr>
              <w:t>été recommandés</w:t>
            </w:r>
            <w:r w:rsidR="00033123" w:rsidRPr="00CD2E51">
              <w:rPr>
                <w:lang w:val="fr-FR"/>
              </w:rPr>
              <w:t xml:space="preserve"> comme formateurs</w:t>
            </w:r>
            <w:r w:rsidR="00033123">
              <w:rPr>
                <w:lang w:val="fr-FR"/>
              </w:rPr>
              <w:t xml:space="preserve"> pour</w:t>
            </w:r>
            <w:r w:rsidR="00033123" w:rsidRPr="00CD2E51">
              <w:rPr>
                <w:lang w:val="fr-FR"/>
              </w:rPr>
              <w:t xml:space="preserve"> la brigade anti-braconnage (BAB)</w:t>
            </w:r>
            <w:r w:rsidR="00033123">
              <w:rPr>
                <w:lang w:val="fr-FR"/>
              </w:rPr>
              <w:t xml:space="preserve"> en priorité</w:t>
            </w:r>
            <w:r w:rsidR="00033123" w:rsidRPr="00CD2E51">
              <w:rPr>
                <w:lang w:val="fr-FR"/>
              </w:rPr>
              <w:t>, ou là où le besoin est le plus grand. Dix</w:t>
            </w:r>
            <w:r w:rsidR="00033123">
              <w:rPr>
                <w:lang w:val="fr-FR"/>
              </w:rPr>
              <w:t xml:space="preserve"> (10)</w:t>
            </w:r>
            <w:r w:rsidR="00033123" w:rsidRPr="00CD2E51">
              <w:rPr>
                <w:lang w:val="fr-FR"/>
              </w:rPr>
              <w:t xml:space="preserve"> autres stagiaires ont suivi la formation avec succès à un niveau satisfaisant et ont </w:t>
            </w:r>
            <w:r w:rsidR="00033123">
              <w:rPr>
                <w:lang w:val="fr-FR"/>
              </w:rPr>
              <w:t xml:space="preserve">été </w:t>
            </w:r>
            <w:r w:rsidR="00033123" w:rsidRPr="00B05959">
              <w:rPr>
                <w:rFonts w:cstheme="minorHAnsi"/>
                <w:lang w:val="fr-FR"/>
              </w:rPr>
              <w:t>recommandés comme formateurs internes dans leurs secteurs respectifs.</w:t>
            </w:r>
            <w:r>
              <w:rPr>
                <w:rFonts w:cstheme="minorHAnsi"/>
                <w:lang w:val="fr-FR"/>
              </w:rPr>
              <w:t xml:space="preserve"> </w:t>
            </w:r>
          </w:p>
          <w:p w14:paraId="489C5ECB" w14:textId="5AB61149" w:rsidR="009F739D" w:rsidRPr="00F327AC" w:rsidRDefault="00033123" w:rsidP="00033123">
            <w:pPr>
              <w:spacing w:after="120" w:line="240" w:lineRule="auto"/>
              <w:jc w:val="both"/>
              <w:rPr>
                <w:rFonts w:cstheme="minorHAnsi"/>
                <w:lang w:val="fr-FR"/>
              </w:rPr>
            </w:pPr>
            <w:r w:rsidRPr="00B05959">
              <w:rPr>
                <w:rFonts w:cstheme="minorHAnsi"/>
                <w:lang w:val="fr-FR"/>
              </w:rPr>
              <w:t>La formation a été très appréciée des stagiaires et les réactions des deux formateurs ont été tout aussi positives.</w:t>
            </w:r>
            <w:r w:rsidR="0098167B">
              <w:rPr>
                <w:rFonts w:cstheme="minorHAnsi"/>
                <w:lang w:val="fr-FR"/>
              </w:rPr>
              <w:t xml:space="preserve"> Bien que le</w:t>
            </w:r>
            <w:r w:rsidR="0098167B" w:rsidRPr="00001E55">
              <w:rPr>
                <w:rFonts w:cstheme="minorHAnsi"/>
                <w:lang w:val="fr-FR"/>
              </w:rPr>
              <w:t xml:space="preserve"> </w:t>
            </w:r>
            <w:r w:rsidR="0098167B">
              <w:rPr>
                <w:rFonts w:cstheme="minorHAnsi"/>
                <w:lang w:val="fr-FR"/>
              </w:rPr>
              <w:t>PEM</w:t>
            </w:r>
            <w:r w:rsidR="0098167B" w:rsidRPr="00001E55">
              <w:rPr>
                <w:rFonts w:cstheme="minorHAnsi"/>
                <w:lang w:val="fr-FR"/>
              </w:rPr>
              <w:t xml:space="preserve"> avait initialement </w:t>
            </w:r>
            <w:r w:rsidR="0098167B">
              <w:rPr>
                <w:rFonts w:cstheme="minorHAnsi"/>
                <w:lang w:val="fr-FR"/>
              </w:rPr>
              <w:t xml:space="preserve">anticipé </w:t>
            </w:r>
            <w:r w:rsidR="0098167B" w:rsidRPr="00001E55">
              <w:rPr>
                <w:rFonts w:cstheme="minorHAnsi"/>
                <w:lang w:val="fr-FR"/>
              </w:rPr>
              <w:t xml:space="preserve">de </w:t>
            </w:r>
            <w:r w:rsidR="0098167B">
              <w:rPr>
                <w:rFonts w:cstheme="minorHAnsi"/>
                <w:lang w:val="fr-FR"/>
              </w:rPr>
              <w:t>consolider la formation en appuyant les nouveaux</w:t>
            </w:r>
            <w:r w:rsidR="0098167B" w:rsidRPr="00001E55">
              <w:rPr>
                <w:rFonts w:cstheme="minorHAnsi"/>
                <w:lang w:val="fr-FR"/>
              </w:rPr>
              <w:t xml:space="preserve"> formateurs pendant </w:t>
            </w:r>
            <w:r w:rsidR="0098167B">
              <w:rPr>
                <w:rFonts w:cstheme="minorHAnsi"/>
                <w:lang w:val="fr-FR"/>
              </w:rPr>
              <w:t>leur</w:t>
            </w:r>
            <w:r w:rsidR="0098167B" w:rsidRPr="00001E55">
              <w:rPr>
                <w:rFonts w:cstheme="minorHAnsi"/>
                <w:lang w:val="fr-FR"/>
              </w:rPr>
              <w:t xml:space="preserve"> formation </w:t>
            </w:r>
            <w:r w:rsidR="0098167B">
              <w:rPr>
                <w:rFonts w:cstheme="minorHAnsi"/>
                <w:lang w:val="fr-FR"/>
              </w:rPr>
              <w:t>des</w:t>
            </w:r>
            <w:r w:rsidR="0098167B" w:rsidRPr="00001E55">
              <w:rPr>
                <w:rFonts w:cstheme="minorHAnsi"/>
                <w:lang w:val="fr-FR"/>
              </w:rPr>
              <w:t xml:space="preserve"> nouvelles recrues, la DNEF </w:t>
            </w:r>
            <w:r w:rsidR="0098167B">
              <w:rPr>
                <w:rFonts w:cstheme="minorHAnsi"/>
                <w:lang w:val="fr-FR"/>
              </w:rPr>
              <w:t xml:space="preserve">n’a pas jugé cela nécessaire. </w:t>
            </w:r>
            <w:r>
              <w:rPr>
                <w:rFonts w:cstheme="minorHAnsi"/>
                <w:lang w:val="fr-FR"/>
              </w:rPr>
              <w:t xml:space="preserve">Le Mali dispose </w:t>
            </w:r>
            <w:r w:rsidR="0098167B">
              <w:rPr>
                <w:rFonts w:cstheme="minorHAnsi"/>
                <w:lang w:val="fr-FR"/>
              </w:rPr>
              <w:t xml:space="preserve">donc </w:t>
            </w:r>
            <w:r>
              <w:rPr>
                <w:rFonts w:cstheme="minorHAnsi"/>
                <w:lang w:val="fr-FR"/>
              </w:rPr>
              <w:t>maintenant de vingt (20) formateurs maliens anti-braconnage, finalis</w:t>
            </w:r>
            <w:r w:rsidR="0098167B">
              <w:rPr>
                <w:rFonts w:cstheme="minorHAnsi"/>
                <w:lang w:val="fr-FR"/>
              </w:rPr>
              <w:t>ant ainsi</w:t>
            </w:r>
            <w:r>
              <w:rPr>
                <w:rFonts w:cstheme="minorHAnsi"/>
                <w:lang w:val="fr-FR"/>
              </w:rPr>
              <w:t xml:space="preserve"> le </w:t>
            </w:r>
            <w:r w:rsidR="0098167B">
              <w:rPr>
                <w:rFonts w:cstheme="minorHAnsi"/>
                <w:lang w:val="fr-FR"/>
              </w:rPr>
              <w:t>transfert de</w:t>
            </w:r>
            <w:r>
              <w:rPr>
                <w:rFonts w:cstheme="minorHAnsi"/>
                <w:lang w:val="fr-FR"/>
              </w:rPr>
              <w:t xml:space="preserve"> la gestion opérationnelle et financière de la BAB à la DNEF. </w:t>
            </w:r>
          </w:p>
          <w:p w14:paraId="03FE5710" w14:textId="77777777" w:rsidR="009F739D" w:rsidRDefault="009F739D" w:rsidP="009F739D">
            <w:pPr>
              <w:pStyle w:val="Sansinterligne"/>
              <w:spacing w:before="120" w:after="120"/>
              <w:jc w:val="both"/>
              <w:rPr>
                <w:rFonts w:eastAsia="Times New Roman" w:cstheme="minorHAnsi"/>
                <w:lang w:val="fr-FR" w:eastAsia="fr-FR"/>
              </w:rPr>
            </w:pPr>
          </w:p>
          <w:p w14:paraId="1646D0FA" w14:textId="4333E1B7" w:rsidR="00705720" w:rsidRPr="00507075" w:rsidRDefault="0098167B" w:rsidP="00CC79B0">
            <w:pPr>
              <w:pStyle w:val="Composante"/>
            </w:pPr>
            <w:r w:rsidRPr="00507075">
              <w:t>COMPOSANTE 3 : GESTION COMMUNAUTAIRE DES RESSOURCES NATURELLES (GCRN) DANS L’HABITAT DES ELEPHANTS DU GOURMA. CETTE COMPOSANTE DANS SON ENSEMBLE EST LA RESPONSABILITE DU PEM</w:t>
            </w:r>
          </w:p>
          <w:p w14:paraId="5EB1C7B2" w14:textId="3D197FC1" w:rsidR="005A58F4" w:rsidRPr="00507075" w:rsidRDefault="005A58F4" w:rsidP="00CC79B0">
            <w:pPr>
              <w:pStyle w:val="Sansinterligne"/>
              <w:shd w:val="clear" w:color="auto" w:fill="DEEAF6" w:themeFill="accent5" w:themeFillTint="33"/>
              <w:spacing w:before="120" w:after="120"/>
              <w:jc w:val="both"/>
              <w:rPr>
                <w:rFonts w:cstheme="minorHAnsi"/>
                <w:b/>
                <w:bCs/>
                <w:lang w:val="fr-FR"/>
              </w:rPr>
            </w:pPr>
            <w:r w:rsidRPr="00507075">
              <w:rPr>
                <w:rFonts w:cstheme="minorHAnsi"/>
                <w:b/>
                <w:bCs/>
                <w:lang w:val="fr-FR"/>
              </w:rPr>
              <w:t>Résultat 3.1. Des plans de gestion communautaire des ressources naturelles dans l’habitat des éléphants sont élaborés et mis en œuvre</w:t>
            </w:r>
          </w:p>
          <w:p w14:paraId="1D420252" w14:textId="4286AA03" w:rsidR="00705720" w:rsidRPr="00CC79B0" w:rsidRDefault="00513635" w:rsidP="00CC79B0">
            <w:pPr>
              <w:pStyle w:val="Activity"/>
            </w:pPr>
            <w:r w:rsidRPr="00CC79B0">
              <w:t xml:space="preserve">Activité 3.1.1 </w:t>
            </w:r>
            <w:r w:rsidR="00713050" w:rsidRPr="00CC79B0">
              <w:t>Élaborer</w:t>
            </w:r>
            <w:r w:rsidRPr="00CC79B0">
              <w:t xml:space="preserve"> des plans de gestion communautaires des ressources naturelles dans les 16 communes de la zone d’intervention pour 25-30 communautés (</w:t>
            </w:r>
            <w:r w:rsidR="00DC3852" w:rsidRPr="00CC79B0">
              <w:t>a</w:t>
            </w:r>
            <w:r w:rsidRPr="00CC79B0">
              <w:t>ssociation</w:t>
            </w:r>
            <w:r w:rsidR="00DC3852" w:rsidRPr="00CC79B0">
              <w:t>s</w:t>
            </w:r>
            <w:r w:rsidRPr="00CC79B0">
              <w:t>, groupement</w:t>
            </w:r>
            <w:r w:rsidR="00DC3852" w:rsidRPr="00CC79B0">
              <w:t>s</w:t>
            </w:r>
            <w:r w:rsidRPr="00CC79B0">
              <w:t>)</w:t>
            </w:r>
          </w:p>
          <w:p w14:paraId="51E4A2C3" w14:textId="482D2D81" w:rsidR="009427D5" w:rsidRPr="004E5738" w:rsidRDefault="009427D5" w:rsidP="00CC79B0">
            <w:pPr>
              <w:pStyle w:val="Sub-ActivityHeading"/>
            </w:pPr>
            <w:r w:rsidRPr="004E5738">
              <w:t>3.1.1.1 Une campagne d'information et de sensibilisation sur le projet est conduite</w:t>
            </w:r>
          </w:p>
          <w:p w14:paraId="68BEBDFC" w14:textId="788B6B8C" w:rsidR="004E5738" w:rsidRPr="0080519A" w:rsidRDefault="004E5738" w:rsidP="00845423">
            <w:pPr>
              <w:pStyle w:val="Sansinterligne"/>
              <w:spacing w:before="120" w:after="120"/>
              <w:contextualSpacing/>
              <w:jc w:val="both"/>
              <w:rPr>
                <w:rFonts w:cstheme="minorHAnsi"/>
                <w:i/>
                <w:iCs/>
                <w:color w:val="000000"/>
                <w:lang w:val="fr-FR"/>
              </w:rPr>
            </w:pPr>
            <w:r w:rsidRPr="0080519A">
              <w:rPr>
                <w:rFonts w:cstheme="minorHAnsi"/>
                <w:i/>
                <w:iCs/>
                <w:color w:val="000000"/>
                <w:lang w:val="fr-FR"/>
              </w:rPr>
              <w:t>- Rencontre d’information et de sensibilisation niveau région et cercle</w:t>
            </w:r>
          </w:p>
          <w:p w14:paraId="49C7A6A3" w14:textId="3F391BAC" w:rsidR="00BC025F" w:rsidRDefault="004E5738" w:rsidP="00BC025F">
            <w:pPr>
              <w:pStyle w:val="Sansinterligne"/>
              <w:spacing w:before="120" w:after="120"/>
              <w:jc w:val="both"/>
              <w:rPr>
                <w:rFonts w:ascii="Calibri" w:hAnsi="Calibri" w:cstheme="minorHAnsi"/>
                <w:lang w:val="fr-FR"/>
              </w:rPr>
            </w:pPr>
            <w:r>
              <w:rPr>
                <w:rFonts w:ascii="Calibri" w:hAnsi="Calibri" w:cstheme="minorHAnsi"/>
                <w:lang w:val="fr-FR"/>
              </w:rPr>
              <w:t xml:space="preserve">Deux rencontres </w:t>
            </w:r>
            <w:r w:rsidR="00845423" w:rsidRPr="00B05959">
              <w:rPr>
                <w:rFonts w:ascii="Calibri" w:hAnsi="Calibri" w:cstheme="minorHAnsi"/>
                <w:lang w:val="fr-FR"/>
              </w:rPr>
              <w:t>d’information et de sensibilisation des acteurs au</w:t>
            </w:r>
            <w:r w:rsidR="00845423">
              <w:rPr>
                <w:rFonts w:ascii="Calibri" w:hAnsi="Calibri" w:cstheme="minorHAnsi"/>
                <w:lang w:val="fr-FR"/>
              </w:rPr>
              <w:t>x</w:t>
            </w:r>
            <w:r w:rsidR="00845423" w:rsidRPr="00B05959">
              <w:rPr>
                <w:rFonts w:ascii="Calibri" w:hAnsi="Calibri" w:cstheme="minorHAnsi"/>
                <w:lang w:val="fr-FR"/>
              </w:rPr>
              <w:t xml:space="preserve"> niveau</w:t>
            </w:r>
            <w:r w:rsidR="00845423">
              <w:rPr>
                <w:rFonts w:ascii="Calibri" w:hAnsi="Calibri" w:cstheme="minorHAnsi"/>
                <w:lang w:val="fr-FR"/>
              </w:rPr>
              <w:t>x</w:t>
            </w:r>
            <w:r w:rsidR="00845423" w:rsidRPr="00B05959">
              <w:rPr>
                <w:rFonts w:ascii="Calibri" w:hAnsi="Calibri" w:cstheme="minorHAnsi"/>
                <w:lang w:val="fr-FR"/>
              </w:rPr>
              <w:t xml:space="preserve"> région </w:t>
            </w:r>
            <w:r w:rsidR="00C85F12">
              <w:rPr>
                <w:rFonts w:ascii="Calibri" w:hAnsi="Calibri" w:cstheme="minorHAnsi"/>
                <w:lang w:val="fr-FR"/>
              </w:rPr>
              <w:t xml:space="preserve">(Douentza, Tombouctou) </w:t>
            </w:r>
            <w:r w:rsidR="00845423" w:rsidRPr="00B05959">
              <w:rPr>
                <w:rFonts w:ascii="Calibri" w:hAnsi="Calibri" w:cstheme="minorHAnsi"/>
                <w:lang w:val="fr-FR"/>
              </w:rPr>
              <w:t xml:space="preserve">et cercle </w:t>
            </w:r>
            <w:r w:rsidR="00C85F12">
              <w:rPr>
                <w:rFonts w:ascii="Calibri" w:hAnsi="Calibri" w:cstheme="minorHAnsi"/>
                <w:lang w:val="fr-FR"/>
              </w:rPr>
              <w:t xml:space="preserve">(Douentza, Gourma-Rharous) </w:t>
            </w:r>
            <w:r w:rsidR="00845423" w:rsidRPr="00B05959">
              <w:rPr>
                <w:rFonts w:ascii="Calibri" w:hAnsi="Calibri" w:cstheme="minorHAnsi"/>
                <w:lang w:val="fr-FR"/>
              </w:rPr>
              <w:t xml:space="preserve">sur le projet </w:t>
            </w:r>
            <w:r>
              <w:rPr>
                <w:rFonts w:ascii="Calibri" w:hAnsi="Calibri" w:cstheme="minorHAnsi"/>
                <w:lang w:val="fr-FR"/>
              </w:rPr>
              <w:t xml:space="preserve">ont été organisées les </w:t>
            </w:r>
            <w:r w:rsidRPr="00C85F12">
              <w:rPr>
                <w:rFonts w:ascii="Calibri" w:hAnsi="Calibri" w:cstheme="minorHAnsi"/>
                <w:lang w:val="fr-FR"/>
              </w:rPr>
              <w:t>15</w:t>
            </w:r>
            <w:r w:rsidR="00BC025F" w:rsidRPr="00C85F12">
              <w:rPr>
                <w:rFonts w:ascii="Calibri" w:hAnsi="Calibri" w:cstheme="minorHAnsi"/>
                <w:lang w:val="fr-FR"/>
              </w:rPr>
              <w:t xml:space="preserve"> j</w:t>
            </w:r>
            <w:r w:rsidR="00BC025F">
              <w:rPr>
                <w:rFonts w:ascii="Calibri" w:hAnsi="Calibri" w:cstheme="minorHAnsi"/>
                <w:lang w:val="fr-FR"/>
              </w:rPr>
              <w:t>uin</w:t>
            </w:r>
            <w:r>
              <w:rPr>
                <w:rFonts w:ascii="Calibri" w:hAnsi="Calibri" w:cstheme="minorHAnsi"/>
                <w:lang w:val="fr-FR"/>
              </w:rPr>
              <w:t xml:space="preserve"> et</w:t>
            </w:r>
            <w:r w:rsidR="00845423" w:rsidRPr="00B05959">
              <w:rPr>
                <w:rFonts w:ascii="Calibri" w:hAnsi="Calibri" w:cstheme="minorHAnsi"/>
                <w:lang w:val="fr-FR"/>
              </w:rPr>
              <w:t xml:space="preserve"> 8 juillet 2022 </w:t>
            </w:r>
            <w:r>
              <w:rPr>
                <w:rFonts w:ascii="Calibri" w:hAnsi="Calibri" w:cstheme="minorHAnsi"/>
                <w:lang w:val="fr-FR"/>
              </w:rPr>
              <w:t>au</w:t>
            </w:r>
            <w:r w:rsidR="00845423" w:rsidRPr="00B05959">
              <w:rPr>
                <w:rFonts w:ascii="Calibri" w:hAnsi="Calibri" w:cstheme="minorHAnsi"/>
                <w:lang w:val="fr-FR"/>
              </w:rPr>
              <w:t xml:space="preserve"> conseil de cercle de Douentza</w:t>
            </w:r>
            <w:r w:rsidR="00845423" w:rsidRPr="00C45744">
              <w:rPr>
                <w:rFonts w:ascii="Calibri" w:hAnsi="Calibri" w:cstheme="minorHAnsi"/>
                <w:lang w:val="fr-FR"/>
              </w:rPr>
              <w:t>.</w:t>
            </w:r>
            <w:r w:rsidR="00BC025F">
              <w:rPr>
                <w:rFonts w:ascii="Calibri" w:hAnsi="Calibri" w:cstheme="minorHAnsi"/>
                <w:lang w:val="fr-FR"/>
              </w:rPr>
              <w:t xml:space="preserve"> A travers ces rencontres, le projet vise à (i) </w:t>
            </w:r>
            <w:r w:rsidR="00BC025F" w:rsidRPr="00BC025F">
              <w:rPr>
                <w:rFonts w:ascii="Calibri" w:hAnsi="Calibri" w:cstheme="minorHAnsi"/>
                <w:lang w:val="fr-FR"/>
              </w:rPr>
              <w:t>Maintenir un contact régulier avec les différents responsables pour leur donner les informations sur l’évolution de la mise en œuvre des activités et avoir leur appui permanent dans la gestion des ressources naturelles et de la Réserve de Biosphère du Gourma</w:t>
            </w:r>
            <w:r w:rsidR="00BC025F">
              <w:rPr>
                <w:rFonts w:ascii="Calibri" w:hAnsi="Calibri" w:cstheme="minorHAnsi"/>
                <w:lang w:val="fr-FR"/>
              </w:rPr>
              <w:t xml:space="preserve"> ; (ii) </w:t>
            </w:r>
            <w:r w:rsidR="00BC025F" w:rsidRPr="00BC025F">
              <w:rPr>
                <w:rFonts w:ascii="Calibri" w:hAnsi="Calibri" w:cstheme="minorHAnsi"/>
                <w:lang w:val="fr-FR"/>
              </w:rPr>
              <w:t>Rappeler et mettre en évidence les réelles causes de dégradation des ressources naturelles, les problèmes liés aux éléphants et du bien-fondé des actions/mesures de conservation du projet</w:t>
            </w:r>
            <w:r w:rsidR="00BC025F">
              <w:rPr>
                <w:rFonts w:ascii="Calibri" w:hAnsi="Calibri" w:cstheme="minorHAnsi"/>
                <w:lang w:val="fr-FR"/>
              </w:rPr>
              <w:t xml:space="preserve"> ; (iii) </w:t>
            </w:r>
            <w:r w:rsidR="00BC025F" w:rsidRPr="00BC025F">
              <w:rPr>
                <w:rFonts w:ascii="Calibri" w:hAnsi="Calibri" w:cstheme="minorHAnsi"/>
                <w:lang w:val="fr-FR"/>
              </w:rPr>
              <w:t>Avoir le soutien de tous les utilisateurs locaux et étrangers par rapport aux objectifs fixés par le projet en matière de mise en œuvre des initiatives locales de protection des ressources naturelles prenant en compte les zones vitales des éléphants ainsi que des règles et sanctions locales mises en place pour leur gestion.</w:t>
            </w:r>
          </w:p>
          <w:p w14:paraId="47C5DA6C" w14:textId="0F3E7FAF" w:rsidR="00845423" w:rsidRPr="0080519A" w:rsidRDefault="00C85F12" w:rsidP="00166AE1">
            <w:pPr>
              <w:pStyle w:val="Sansinterligne"/>
              <w:spacing w:before="120" w:after="120"/>
              <w:jc w:val="both"/>
              <w:rPr>
                <w:rFonts w:ascii="Calibri" w:hAnsi="Calibri" w:cstheme="minorHAnsi"/>
                <w:lang w:val="fr-FR"/>
              </w:rPr>
            </w:pPr>
            <w:r>
              <w:rPr>
                <w:rFonts w:ascii="Calibri" w:hAnsi="Calibri" w:cstheme="minorHAnsi"/>
                <w:lang w:val="fr-FR"/>
              </w:rPr>
              <w:t xml:space="preserve">La première rencontre a réuni </w:t>
            </w:r>
            <w:r w:rsidRPr="00C85F12">
              <w:rPr>
                <w:rFonts w:ascii="Calibri" w:hAnsi="Calibri" w:cstheme="minorHAnsi"/>
                <w:lang w:val="fr-FR"/>
              </w:rPr>
              <w:t xml:space="preserve">27 personnes </w:t>
            </w:r>
            <w:r>
              <w:rPr>
                <w:rFonts w:ascii="Calibri" w:hAnsi="Calibri" w:cstheme="minorHAnsi"/>
                <w:lang w:val="fr-FR"/>
              </w:rPr>
              <w:t>de la région/cercle de Douentza et la deuxième 9 personnes de la région de Tombouctou/cercle de Gourma-Rharous, représentant les structures suivantes : g</w:t>
            </w:r>
            <w:r w:rsidRPr="00C85F12">
              <w:rPr>
                <w:rFonts w:ascii="Calibri" w:hAnsi="Calibri" w:cstheme="minorHAnsi"/>
                <w:lang w:val="fr-FR"/>
              </w:rPr>
              <w:t xml:space="preserve">ouvernorat, préfecture, </w:t>
            </w:r>
            <w:r>
              <w:rPr>
                <w:rFonts w:ascii="Calibri" w:hAnsi="Calibri" w:cstheme="minorHAnsi"/>
                <w:lang w:val="fr-FR"/>
              </w:rPr>
              <w:t>Eaux et Forêts,</w:t>
            </w:r>
            <w:r w:rsidRPr="00C85F12">
              <w:rPr>
                <w:rFonts w:ascii="Calibri" w:hAnsi="Calibri" w:cstheme="minorHAnsi"/>
                <w:lang w:val="fr-FR"/>
              </w:rPr>
              <w:t xml:space="preserve"> agriculture, pêche, élevage, production </w:t>
            </w:r>
            <w:r w:rsidRPr="00B05959">
              <w:rPr>
                <w:rFonts w:ascii="Calibri" w:hAnsi="Calibri" w:cstheme="minorHAnsi"/>
                <w:lang w:val="fr-FR"/>
              </w:rPr>
              <w:t>des industries animales</w:t>
            </w:r>
            <w:r w:rsidRPr="00C85F12">
              <w:rPr>
                <w:rFonts w:ascii="Calibri" w:hAnsi="Calibri" w:cstheme="minorHAnsi"/>
                <w:lang w:val="fr-FR"/>
              </w:rPr>
              <w:t>, service</w:t>
            </w:r>
            <w:r>
              <w:rPr>
                <w:rFonts w:ascii="Calibri" w:hAnsi="Calibri" w:cstheme="minorHAnsi"/>
                <w:lang w:val="fr-FR"/>
              </w:rPr>
              <w:t>s</w:t>
            </w:r>
            <w:r w:rsidRPr="00C85F12">
              <w:rPr>
                <w:rFonts w:ascii="Calibri" w:hAnsi="Calibri" w:cstheme="minorHAnsi"/>
                <w:lang w:val="fr-FR"/>
              </w:rPr>
              <w:t xml:space="preserve"> vétérinaire</w:t>
            </w:r>
            <w:r>
              <w:rPr>
                <w:rFonts w:ascii="Calibri" w:hAnsi="Calibri" w:cstheme="minorHAnsi"/>
                <w:lang w:val="fr-FR"/>
              </w:rPr>
              <w:t>s</w:t>
            </w:r>
            <w:r w:rsidRPr="00C85F12">
              <w:rPr>
                <w:rFonts w:ascii="Calibri" w:hAnsi="Calibri" w:cstheme="minorHAnsi"/>
                <w:lang w:val="fr-FR"/>
              </w:rPr>
              <w:t xml:space="preserve">, </w:t>
            </w:r>
            <w:r w:rsidR="0080519A">
              <w:rPr>
                <w:rFonts w:ascii="Calibri" w:hAnsi="Calibri" w:cstheme="minorHAnsi"/>
                <w:lang w:val="fr-FR"/>
              </w:rPr>
              <w:t>d</w:t>
            </w:r>
            <w:r w:rsidRPr="00C85F12">
              <w:rPr>
                <w:rFonts w:ascii="Calibri" w:hAnsi="Calibri" w:cstheme="minorHAnsi"/>
                <w:lang w:val="fr-FR"/>
              </w:rPr>
              <w:t>ouane</w:t>
            </w:r>
            <w:r w:rsidR="0080519A">
              <w:rPr>
                <w:rFonts w:ascii="Calibri" w:hAnsi="Calibri" w:cstheme="minorHAnsi"/>
                <w:lang w:val="fr-FR"/>
              </w:rPr>
              <w:t>s</w:t>
            </w:r>
            <w:r w:rsidRPr="00C85F12">
              <w:rPr>
                <w:rFonts w:ascii="Calibri" w:hAnsi="Calibri" w:cstheme="minorHAnsi"/>
                <w:lang w:val="fr-FR"/>
              </w:rPr>
              <w:t xml:space="preserve">, </w:t>
            </w:r>
            <w:r w:rsidR="0080519A">
              <w:rPr>
                <w:rFonts w:ascii="Calibri" w:hAnsi="Calibri" w:cstheme="minorHAnsi"/>
                <w:lang w:val="fr-FR"/>
              </w:rPr>
              <w:t>c</w:t>
            </w:r>
            <w:r w:rsidRPr="00C85F12">
              <w:rPr>
                <w:rFonts w:ascii="Calibri" w:hAnsi="Calibri" w:cstheme="minorHAnsi"/>
                <w:lang w:val="fr-FR"/>
              </w:rPr>
              <w:t xml:space="preserve">onseil de cercle, gendarmerie, GTA, </w:t>
            </w:r>
            <w:r w:rsidR="0080519A">
              <w:rPr>
                <w:rFonts w:ascii="Calibri" w:hAnsi="Calibri" w:cstheme="minorHAnsi"/>
                <w:lang w:val="fr-FR"/>
              </w:rPr>
              <w:t>h</w:t>
            </w:r>
            <w:r w:rsidRPr="00C85F12">
              <w:rPr>
                <w:rFonts w:ascii="Calibri" w:hAnsi="Calibri" w:cstheme="minorHAnsi"/>
                <w:lang w:val="fr-FR"/>
              </w:rPr>
              <w:t>ydraulique.</w:t>
            </w:r>
          </w:p>
          <w:p w14:paraId="53CDF02E" w14:textId="28FDAB94" w:rsidR="00166AE1" w:rsidRPr="008E09B4" w:rsidRDefault="00845423" w:rsidP="00166AE1">
            <w:pPr>
              <w:pStyle w:val="Sansinterligne"/>
              <w:spacing w:before="120" w:after="120"/>
              <w:contextualSpacing/>
              <w:jc w:val="both"/>
              <w:rPr>
                <w:rFonts w:cstheme="minorHAnsi"/>
                <w:i/>
                <w:iCs/>
                <w:color w:val="000000"/>
                <w:lang w:val="fr-FR"/>
              </w:rPr>
            </w:pPr>
            <w:r>
              <w:rPr>
                <w:rFonts w:cstheme="minorHAnsi"/>
                <w:i/>
                <w:iCs/>
                <w:color w:val="000000"/>
                <w:lang w:val="fr-FR"/>
              </w:rPr>
              <w:t xml:space="preserve">- </w:t>
            </w:r>
            <w:r w:rsidR="00166AE1" w:rsidRPr="008E09B4">
              <w:rPr>
                <w:rFonts w:cstheme="minorHAnsi"/>
                <w:i/>
                <w:iCs/>
                <w:color w:val="000000"/>
                <w:lang w:val="fr-FR"/>
              </w:rPr>
              <w:t>Organisation d'un atelier d'élaboration des plans de gestion communautaire des ressources naturelles dans le cadre de</w:t>
            </w:r>
            <w:r w:rsidR="0080519A">
              <w:rPr>
                <w:rFonts w:cstheme="minorHAnsi"/>
                <w:i/>
                <w:iCs/>
                <w:color w:val="000000"/>
                <w:lang w:val="fr-FR"/>
              </w:rPr>
              <w:t xml:space="preserve"> la</w:t>
            </w:r>
            <w:r w:rsidR="00166AE1" w:rsidRPr="008E09B4">
              <w:rPr>
                <w:rFonts w:cstheme="minorHAnsi"/>
                <w:i/>
                <w:iCs/>
                <w:color w:val="000000"/>
                <w:lang w:val="fr-FR"/>
              </w:rPr>
              <w:t xml:space="preserve"> mise en œuvre des conventions</w:t>
            </w:r>
          </w:p>
          <w:p w14:paraId="143A3A5C" w14:textId="773401B9" w:rsidR="00722194" w:rsidRDefault="008E09B4" w:rsidP="008E09B4">
            <w:pPr>
              <w:pStyle w:val="Sansinterligne"/>
              <w:spacing w:before="120" w:after="120"/>
              <w:contextualSpacing/>
              <w:jc w:val="both"/>
              <w:rPr>
                <w:rFonts w:cstheme="minorHAnsi"/>
                <w:color w:val="000000"/>
                <w:lang w:val="fr-FR"/>
              </w:rPr>
            </w:pPr>
            <w:r>
              <w:rPr>
                <w:rFonts w:cstheme="minorHAnsi"/>
                <w:color w:val="000000"/>
                <w:lang w:val="fr-FR"/>
              </w:rPr>
              <w:t xml:space="preserve">Un atelier d’élaboration </w:t>
            </w:r>
            <w:r w:rsidR="00166AE1" w:rsidRPr="00166AE1">
              <w:rPr>
                <w:rFonts w:cstheme="minorHAnsi"/>
                <w:color w:val="000000"/>
                <w:lang w:val="fr-FR"/>
              </w:rPr>
              <w:t>des plans de gestion communautaires des ressources naturelles dans le cadre de la mise en œuvre des conventions de CGRN</w:t>
            </w:r>
            <w:r>
              <w:rPr>
                <w:rFonts w:cstheme="minorHAnsi"/>
                <w:color w:val="000000"/>
                <w:lang w:val="fr-FR"/>
              </w:rPr>
              <w:t xml:space="preserve"> a été organisé à Douentza les 13-14 octobre avec 10</w:t>
            </w:r>
            <w:r w:rsidR="00382117">
              <w:rPr>
                <w:rFonts w:cstheme="minorHAnsi"/>
                <w:color w:val="000000"/>
                <w:lang w:val="fr-FR"/>
              </w:rPr>
              <w:t>4</w:t>
            </w:r>
            <w:r>
              <w:rPr>
                <w:rFonts w:cstheme="minorHAnsi"/>
                <w:color w:val="000000"/>
                <w:lang w:val="fr-FR"/>
              </w:rPr>
              <w:t xml:space="preserve"> participants (9</w:t>
            </w:r>
            <w:r w:rsidR="00382117">
              <w:rPr>
                <w:rFonts w:cstheme="minorHAnsi"/>
                <w:color w:val="000000"/>
                <w:lang w:val="fr-FR"/>
              </w:rPr>
              <w:t>5</w:t>
            </w:r>
            <w:r>
              <w:rPr>
                <w:rFonts w:cstheme="minorHAnsi"/>
                <w:color w:val="000000"/>
                <w:lang w:val="fr-FR"/>
              </w:rPr>
              <w:t xml:space="preserve">H, </w:t>
            </w:r>
            <w:r w:rsidR="00382117">
              <w:rPr>
                <w:rFonts w:cstheme="minorHAnsi"/>
                <w:color w:val="000000"/>
                <w:lang w:val="fr-FR"/>
              </w:rPr>
              <w:t>9</w:t>
            </w:r>
            <w:r>
              <w:rPr>
                <w:rFonts w:cstheme="minorHAnsi"/>
                <w:color w:val="000000"/>
                <w:lang w:val="fr-FR"/>
              </w:rPr>
              <w:t>F)</w:t>
            </w:r>
            <w:r w:rsidR="0080519A">
              <w:rPr>
                <w:rFonts w:cstheme="minorHAnsi"/>
                <w:color w:val="000000"/>
                <w:lang w:val="fr-FR"/>
              </w:rPr>
              <w:t xml:space="preserve"> </w:t>
            </w:r>
            <w:r w:rsidR="0080519A" w:rsidRPr="0080519A">
              <w:rPr>
                <w:rFonts w:cstheme="minorHAnsi"/>
                <w:color w:val="000000"/>
                <w:lang w:val="fr-FR"/>
              </w:rPr>
              <w:t>des communes de Bambara Maoudé, Inadiatafane, Gossi, Ouinerden, Haribomo, Hombori et Petaka</w:t>
            </w:r>
            <w:r w:rsidR="0080519A">
              <w:rPr>
                <w:rFonts w:cstheme="minorHAnsi"/>
                <w:color w:val="000000"/>
                <w:lang w:val="fr-FR"/>
              </w:rPr>
              <w:t>. Ces plans visent à renforcer l’</w:t>
            </w:r>
            <w:r w:rsidR="00165877">
              <w:rPr>
                <w:rFonts w:cstheme="minorHAnsi"/>
                <w:color w:val="000000"/>
                <w:lang w:val="fr-FR"/>
              </w:rPr>
              <w:t>intégration</w:t>
            </w:r>
            <w:r w:rsidR="0080519A">
              <w:rPr>
                <w:rFonts w:cstheme="minorHAnsi"/>
                <w:color w:val="000000"/>
                <w:lang w:val="fr-FR"/>
              </w:rPr>
              <w:t xml:space="preserve"> d’</w:t>
            </w:r>
            <w:r w:rsidR="00165877">
              <w:rPr>
                <w:rFonts w:cstheme="minorHAnsi"/>
                <w:color w:val="000000"/>
                <w:lang w:val="fr-FR"/>
              </w:rPr>
              <w:t>initiatives</w:t>
            </w:r>
            <w:r w:rsidR="0080519A">
              <w:rPr>
                <w:rFonts w:cstheme="minorHAnsi"/>
                <w:color w:val="000000"/>
                <w:lang w:val="fr-FR"/>
              </w:rPr>
              <w:t xml:space="preserve"> de protection des ressources naturelles au sein des plans de </w:t>
            </w:r>
            <w:r w:rsidR="00165877">
              <w:rPr>
                <w:rFonts w:cstheme="minorHAnsi"/>
                <w:color w:val="000000"/>
                <w:lang w:val="fr-FR"/>
              </w:rPr>
              <w:t>développement</w:t>
            </w:r>
            <w:r w:rsidR="0080519A">
              <w:rPr>
                <w:rFonts w:cstheme="minorHAnsi"/>
                <w:color w:val="000000"/>
                <w:lang w:val="fr-FR"/>
              </w:rPr>
              <w:t xml:space="preserve"> des communes (PDESC) et </w:t>
            </w:r>
            <w:r w:rsidR="00165877">
              <w:rPr>
                <w:rFonts w:cstheme="minorHAnsi"/>
                <w:color w:val="000000"/>
                <w:lang w:val="fr-FR"/>
              </w:rPr>
              <w:t>bénéficieront</w:t>
            </w:r>
            <w:r w:rsidR="0080519A">
              <w:rPr>
                <w:rFonts w:cstheme="minorHAnsi"/>
                <w:color w:val="000000"/>
                <w:lang w:val="fr-FR"/>
              </w:rPr>
              <w:t xml:space="preserve"> d’un appui spécifique à l</w:t>
            </w:r>
            <w:r w:rsidR="00165877">
              <w:rPr>
                <w:rFonts w:cstheme="minorHAnsi"/>
                <w:color w:val="000000"/>
                <w:lang w:val="fr-FR"/>
              </w:rPr>
              <w:t>eur</w:t>
            </w:r>
            <w:r w:rsidR="0080519A">
              <w:rPr>
                <w:rFonts w:cstheme="minorHAnsi"/>
                <w:color w:val="000000"/>
                <w:lang w:val="fr-FR"/>
              </w:rPr>
              <w:t xml:space="preserve"> mise en œuvre en 2023.</w:t>
            </w:r>
          </w:p>
          <w:p w14:paraId="0B114295" w14:textId="77777777" w:rsidR="00722194" w:rsidRPr="00BD2917" w:rsidRDefault="00722194" w:rsidP="00C32582">
            <w:pPr>
              <w:pStyle w:val="Sub-ActivityHeading"/>
            </w:pPr>
            <w:r w:rsidRPr="00BD2917">
              <w:t>A 3.1.1.2 Organisation d’assemblées générales regroupant les villages officiels, hameaux et campements dans et autour de la Réserve de Biosphère.</w:t>
            </w:r>
          </w:p>
          <w:p w14:paraId="10DCD12F" w14:textId="39189DFC" w:rsidR="00722194" w:rsidRPr="00BD2917" w:rsidRDefault="00165877" w:rsidP="00BD2917">
            <w:pPr>
              <w:suppressAutoHyphens/>
              <w:spacing w:before="120" w:after="0" w:line="240" w:lineRule="auto"/>
              <w:contextualSpacing/>
              <w:jc w:val="both"/>
              <w:rPr>
                <w:rFonts w:asciiTheme="minorHAnsi" w:hAnsiTheme="minorHAnsi" w:cstheme="minorHAnsi"/>
                <w:lang w:val="fr-FR"/>
              </w:rPr>
            </w:pPr>
            <w:r>
              <w:rPr>
                <w:rFonts w:asciiTheme="minorHAnsi" w:eastAsia="Times New Roman" w:hAnsiTheme="minorHAnsi" w:cstheme="minorHAnsi"/>
                <w:lang w:val="fr-FR" w:eastAsia="fr-FR"/>
              </w:rPr>
              <w:t>Cinq (</w:t>
            </w:r>
            <w:r w:rsidR="00722194" w:rsidRPr="00507075">
              <w:rPr>
                <w:rFonts w:asciiTheme="minorHAnsi" w:eastAsia="Times New Roman" w:hAnsiTheme="minorHAnsi" w:cstheme="minorHAnsi"/>
                <w:lang w:val="fr-FR" w:eastAsia="fr-FR"/>
              </w:rPr>
              <w:t>5</w:t>
            </w:r>
            <w:r>
              <w:rPr>
                <w:rFonts w:asciiTheme="minorHAnsi" w:eastAsia="Times New Roman" w:hAnsiTheme="minorHAnsi" w:cstheme="minorHAnsi"/>
                <w:lang w:val="fr-FR" w:eastAsia="fr-FR"/>
              </w:rPr>
              <w:t>)</w:t>
            </w:r>
            <w:r w:rsidR="00722194" w:rsidRPr="00507075">
              <w:rPr>
                <w:rFonts w:asciiTheme="minorHAnsi" w:eastAsia="Times New Roman" w:hAnsiTheme="minorHAnsi" w:cstheme="minorHAnsi"/>
                <w:lang w:val="fr-FR" w:eastAsia="fr-FR"/>
              </w:rPr>
              <w:t xml:space="preserve"> assemblées générales d'information et de sensibilisation regroupant les villages, hameaux et campements des communes de</w:t>
            </w:r>
            <w:r w:rsidR="00722194" w:rsidRPr="00507075">
              <w:rPr>
                <w:rFonts w:asciiTheme="minorHAnsi" w:hAnsiTheme="minorHAnsi" w:cstheme="minorHAnsi"/>
                <w:lang w:val="fr-FR"/>
              </w:rPr>
              <w:t xml:space="preserve"> Gossi, Ouinerden, Haribomo, Pétaka et Hombori</w:t>
            </w:r>
            <w:r>
              <w:rPr>
                <w:rFonts w:asciiTheme="minorHAnsi" w:hAnsiTheme="minorHAnsi" w:cstheme="minorHAnsi"/>
                <w:lang w:val="fr-FR"/>
              </w:rPr>
              <w:t>,</w:t>
            </w:r>
            <w:r w:rsidR="00722194" w:rsidRPr="00507075">
              <w:rPr>
                <w:rFonts w:asciiTheme="minorHAnsi" w:hAnsiTheme="minorHAnsi" w:cstheme="minorHAnsi"/>
                <w:lang w:val="fr-FR"/>
              </w:rPr>
              <w:t xml:space="preserve"> situé</w:t>
            </w:r>
            <w:r>
              <w:rPr>
                <w:rFonts w:asciiTheme="minorHAnsi" w:hAnsiTheme="minorHAnsi" w:cstheme="minorHAnsi"/>
                <w:lang w:val="fr-FR"/>
              </w:rPr>
              <w:t>e</w:t>
            </w:r>
            <w:r w:rsidR="00722194" w:rsidRPr="00507075">
              <w:rPr>
                <w:rFonts w:asciiTheme="minorHAnsi" w:hAnsiTheme="minorHAnsi" w:cstheme="minorHAnsi"/>
                <w:lang w:val="fr-FR"/>
              </w:rPr>
              <w:t xml:space="preserve">s dans et autour de la Réserve de Biosphère du Gourma, </w:t>
            </w:r>
            <w:r w:rsidR="00722194" w:rsidRPr="00507075">
              <w:rPr>
                <w:rFonts w:asciiTheme="minorHAnsi" w:eastAsia="Times New Roman" w:hAnsiTheme="minorHAnsi" w:cstheme="minorHAnsi"/>
                <w:lang w:val="fr-FR" w:eastAsia="fr-FR"/>
              </w:rPr>
              <w:t xml:space="preserve">ont été organisées </w:t>
            </w:r>
            <w:r>
              <w:rPr>
                <w:rFonts w:asciiTheme="minorHAnsi" w:eastAsia="Times New Roman" w:hAnsiTheme="minorHAnsi" w:cstheme="minorHAnsi"/>
                <w:lang w:val="fr-FR" w:eastAsia="fr-FR"/>
              </w:rPr>
              <w:t xml:space="preserve">au mois de mars 2022 </w:t>
            </w:r>
            <w:r w:rsidR="00722194" w:rsidRPr="00507075">
              <w:rPr>
                <w:rFonts w:asciiTheme="minorHAnsi" w:eastAsia="Times New Roman" w:hAnsiTheme="minorHAnsi" w:cstheme="minorHAnsi"/>
                <w:lang w:val="fr-FR" w:eastAsia="fr-FR"/>
              </w:rPr>
              <w:t xml:space="preserve">dans les chefs-lieux </w:t>
            </w:r>
            <w:r w:rsidR="00722194" w:rsidRPr="00507075">
              <w:rPr>
                <w:rFonts w:asciiTheme="minorHAnsi" w:hAnsiTheme="minorHAnsi" w:cstheme="minorHAnsi"/>
                <w:lang w:val="fr-FR"/>
              </w:rPr>
              <w:t>pour :</w:t>
            </w:r>
            <w:r>
              <w:rPr>
                <w:rFonts w:asciiTheme="minorHAnsi" w:hAnsiTheme="minorHAnsi" w:cstheme="minorHAnsi"/>
                <w:lang w:val="fr-FR"/>
              </w:rPr>
              <w:t xml:space="preserve"> (i) </w:t>
            </w:r>
            <w:r w:rsidR="00722194" w:rsidRPr="00507075">
              <w:rPr>
                <w:rFonts w:cstheme="minorHAnsi"/>
                <w:lang w:val="fr-FR"/>
              </w:rPr>
              <w:t>mettre à l’évidence les causes du phénomène de dégradation des ressources naturelles et du bien-fondé de la création de la Réserve de Biosphère du Gourma ;</w:t>
            </w:r>
            <w:r>
              <w:rPr>
                <w:rFonts w:cstheme="minorHAnsi"/>
                <w:lang w:val="fr-FR"/>
              </w:rPr>
              <w:t xml:space="preserve"> (ii) </w:t>
            </w:r>
            <w:r w:rsidR="00722194" w:rsidRPr="00507075">
              <w:rPr>
                <w:rFonts w:cstheme="minorHAnsi"/>
                <w:lang w:val="fr-FR"/>
              </w:rPr>
              <w:t>avoir l’adhésion de tous à la gestion des zones centrales et au respect des limites de la Réserve ;</w:t>
            </w:r>
            <w:r>
              <w:rPr>
                <w:rFonts w:cstheme="minorHAnsi"/>
                <w:lang w:val="fr-FR"/>
              </w:rPr>
              <w:t xml:space="preserve"> (iii) </w:t>
            </w:r>
            <w:r w:rsidR="00722194" w:rsidRPr="00507075">
              <w:rPr>
                <w:rFonts w:cstheme="minorHAnsi"/>
                <w:lang w:val="fr-FR"/>
              </w:rPr>
              <w:t>avoir leur engagement conscient dans la mise en place d’actions et mesures de GRN et de protection des éléphants et de leur habitat ;</w:t>
            </w:r>
            <w:r>
              <w:rPr>
                <w:rFonts w:cstheme="minorHAnsi"/>
                <w:lang w:val="fr-FR"/>
              </w:rPr>
              <w:t xml:space="preserve"> (iii) </w:t>
            </w:r>
            <w:r w:rsidR="00722194" w:rsidRPr="00507075">
              <w:rPr>
                <w:rFonts w:cstheme="minorHAnsi"/>
                <w:lang w:val="fr-FR"/>
              </w:rPr>
              <w:t>avoir leur engagement dans la mise en œuvre des activités introduites dans les PDSEC ayant fait objet de délibérations des conseils communaux</w:t>
            </w:r>
            <w:r>
              <w:rPr>
                <w:rFonts w:cstheme="minorHAnsi"/>
                <w:lang w:val="fr-FR"/>
              </w:rPr>
              <w:t xml:space="preserve">. </w:t>
            </w:r>
            <w:r w:rsidR="00722194" w:rsidRPr="00507075">
              <w:rPr>
                <w:rFonts w:cstheme="minorHAnsi"/>
                <w:lang w:val="fr-FR"/>
              </w:rPr>
              <w:t>Ces assemblées ont regroupé 275 personnes dont 240 hommes et 35 femmes.</w:t>
            </w:r>
          </w:p>
          <w:p w14:paraId="7FD69AD2" w14:textId="26030D93" w:rsidR="00845423" w:rsidRPr="00BD2917" w:rsidRDefault="00845423" w:rsidP="00C32582">
            <w:pPr>
              <w:pStyle w:val="Sub-ActivityHeading"/>
            </w:pPr>
            <w:r w:rsidRPr="00BD2917">
              <w:t>3.1.1.4 Organisation des sessions de formation pour les 25-30 communautés sur la gestion HEC, la gestion des feux de brousse, etc.</w:t>
            </w:r>
          </w:p>
          <w:p w14:paraId="0718D079" w14:textId="1C9BCFFB" w:rsidR="00BD2917" w:rsidRPr="000A11E6" w:rsidRDefault="00BD2917" w:rsidP="00BD2917">
            <w:pPr>
              <w:pStyle w:val="Sansinterligne"/>
              <w:spacing w:before="120"/>
              <w:contextualSpacing/>
              <w:jc w:val="both"/>
              <w:rPr>
                <w:rStyle w:val="Accentuationlgre"/>
              </w:rPr>
            </w:pPr>
            <w:r w:rsidRPr="000A11E6">
              <w:rPr>
                <w:rStyle w:val="Accentuationlgre"/>
              </w:rPr>
              <w:t>- Identification des zones sensibles aux feu de brousse</w:t>
            </w:r>
          </w:p>
          <w:p w14:paraId="48B853FC" w14:textId="3174A813" w:rsidR="00E63BCE" w:rsidRDefault="00BD2917" w:rsidP="00BD2917">
            <w:pPr>
              <w:pStyle w:val="Sansinterligne"/>
              <w:spacing w:before="120"/>
              <w:contextualSpacing/>
              <w:jc w:val="both"/>
              <w:rPr>
                <w:rFonts w:eastAsia="Times New Roman" w:cstheme="minorHAnsi"/>
                <w:lang w:val="fr-FR" w:eastAsia="fr-FR"/>
              </w:rPr>
            </w:pPr>
            <w:r>
              <w:rPr>
                <w:rFonts w:cstheme="minorHAnsi"/>
                <w:lang w:val="fr-FR"/>
              </w:rPr>
              <w:t>Quinze (</w:t>
            </w:r>
            <w:r w:rsidR="00722194" w:rsidRPr="00507075">
              <w:rPr>
                <w:rFonts w:cstheme="minorHAnsi"/>
                <w:lang w:val="fr-FR"/>
              </w:rPr>
              <w:t>15</w:t>
            </w:r>
            <w:r>
              <w:rPr>
                <w:rFonts w:cstheme="minorHAnsi"/>
                <w:lang w:val="fr-FR"/>
              </w:rPr>
              <w:t>)</w:t>
            </w:r>
            <w:r w:rsidR="00722194" w:rsidRPr="00507075">
              <w:rPr>
                <w:rFonts w:cstheme="minorHAnsi"/>
                <w:lang w:val="fr-FR"/>
              </w:rPr>
              <w:t xml:space="preserve"> écogardes ont été mobilisés </w:t>
            </w:r>
            <w:r>
              <w:rPr>
                <w:rFonts w:cstheme="minorHAnsi"/>
                <w:lang w:val="fr-FR"/>
              </w:rPr>
              <w:t xml:space="preserve">au mois de janvier </w:t>
            </w:r>
            <w:r w:rsidR="00722194" w:rsidRPr="00507075">
              <w:rPr>
                <w:rFonts w:cstheme="minorHAnsi"/>
                <w:lang w:val="fr-FR"/>
              </w:rPr>
              <w:t xml:space="preserve">dans les communes de Gossi, Ouinerden, Haribomo, Pétaka et Hombori </w:t>
            </w:r>
            <w:r>
              <w:rPr>
                <w:rFonts w:cstheme="minorHAnsi"/>
                <w:lang w:val="fr-FR"/>
              </w:rPr>
              <w:t>dans le but (i) D’i</w:t>
            </w:r>
            <w:r w:rsidR="00722194" w:rsidRPr="00507075">
              <w:rPr>
                <w:rFonts w:eastAsia="Times New Roman" w:cstheme="minorHAnsi"/>
                <w:lang w:val="fr-FR" w:eastAsia="fr-FR"/>
              </w:rPr>
              <w:t xml:space="preserve">nformer et </w:t>
            </w:r>
            <w:r>
              <w:rPr>
                <w:rFonts w:eastAsia="Times New Roman" w:cstheme="minorHAnsi"/>
                <w:lang w:val="fr-FR" w:eastAsia="fr-FR"/>
              </w:rPr>
              <w:t xml:space="preserve">de </w:t>
            </w:r>
            <w:r w:rsidR="00722194" w:rsidRPr="00507075">
              <w:rPr>
                <w:rFonts w:eastAsia="Times New Roman" w:cstheme="minorHAnsi"/>
                <w:lang w:val="fr-FR" w:eastAsia="fr-FR"/>
              </w:rPr>
              <w:t>sensibiliser les élus et les communautés sur les dangers des feux de brousse ;</w:t>
            </w:r>
            <w:r>
              <w:rPr>
                <w:rFonts w:eastAsia="Times New Roman" w:cstheme="minorHAnsi"/>
                <w:lang w:val="fr-FR" w:eastAsia="fr-FR"/>
              </w:rPr>
              <w:t xml:space="preserve"> (ii) </w:t>
            </w:r>
            <w:r w:rsidR="00722194" w:rsidRPr="00507075">
              <w:rPr>
                <w:rFonts w:eastAsia="Times New Roman" w:cstheme="minorHAnsi"/>
                <w:lang w:val="fr-FR" w:eastAsia="fr-FR"/>
              </w:rPr>
              <w:t xml:space="preserve">Effectuer des sortie sur le terrain pour identifier et localiser au GPS les zones </w:t>
            </w:r>
            <w:r w:rsidR="00722194" w:rsidRPr="00507075">
              <w:rPr>
                <w:rFonts w:cstheme="minorHAnsi"/>
                <w:lang w:val="fr-FR"/>
              </w:rPr>
              <w:t>(villages, campements et hameaux) sensibles aux incendies des feux de brousse</w:t>
            </w:r>
            <w:r w:rsidR="00722194" w:rsidRPr="00507075">
              <w:rPr>
                <w:rFonts w:eastAsia="Times New Roman" w:cstheme="minorHAnsi"/>
                <w:lang w:val="fr-FR" w:eastAsia="fr-FR"/>
              </w:rPr>
              <w:t xml:space="preserve"> ;</w:t>
            </w:r>
            <w:r>
              <w:rPr>
                <w:rFonts w:eastAsia="Times New Roman" w:cstheme="minorHAnsi"/>
                <w:lang w:val="fr-FR" w:eastAsia="fr-FR"/>
              </w:rPr>
              <w:t xml:space="preserve"> (iii) </w:t>
            </w:r>
            <w:r w:rsidR="00722194" w:rsidRPr="00507075">
              <w:rPr>
                <w:rFonts w:eastAsia="Times New Roman" w:cstheme="minorHAnsi"/>
                <w:lang w:val="fr-FR" w:eastAsia="fr-FR"/>
              </w:rPr>
              <w:t>Aider à l’élaboration d’une carte des zones sensibles aux incendies de feux de brousse</w:t>
            </w:r>
            <w:r>
              <w:rPr>
                <w:rFonts w:eastAsia="Times New Roman" w:cstheme="minorHAnsi"/>
                <w:lang w:val="fr-FR" w:eastAsia="fr-FR"/>
              </w:rPr>
              <w:t xml:space="preserve"> (cartes </w:t>
            </w:r>
            <w:r w:rsidR="00683654">
              <w:rPr>
                <w:rFonts w:eastAsia="Times New Roman" w:cstheme="minorHAnsi"/>
                <w:lang w:val="fr-FR" w:eastAsia="fr-FR"/>
              </w:rPr>
              <w:t>disponibles</w:t>
            </w:r>
            <w:r>
              <w:rPr>
                <w:rFonts w:eastAsia="Times New Roman" w:cstheme="minorHAnsi"/>
                <w:lang w:val="fr-FR" w:eastAsia="fr-FR"/>
              </w:rPr>
              <w:t>).</w:t>
            </w:r>
          </w:p>
          <w:p w14:paraId="7F1F6392" w14:textId="77777777" w:rsidR="00E63BCE" w:rsidRPr="00E63BCE" w:rsidRDefault="00E63BCE" w:rsidP="00BD2917">
            <w:pPr>
              <w:pStyle w:val="Sansinterligne"/>
              <w:spacing w:before="120"/>
              <w:contextualSpacing/>
              <w:jc w:val="both"/>
              <w:rPr>
                <w:rFonts w:eastAsia="Times New Roman" w:cstheme="minorHAnsi"/>
                <w:lang w:val="fr-FR" w:eastAsia="fr-FR"/>
              </w:rPr>
            </w:pPr>
          </w:p>
          <w:p w14:paraId="66FE604D" w14:textId="531C3780" w:rsidR="00845423" w:rsidRPr="00E63BCE" w:rsidRDefault="00BD2917" w:rsidP="00E63BCE">
            <w:pPr>
              <w:pStyle w:val="Sansinterligne"/>
              <w:spacing w:before="120"/>
              <w:contextualSpacing/>
              <w:jc w:val="both"/>
              <w:rPr>
                <w:rFonts w:cstheme="minorHAnsi"/>
                <w:i/>
                <w:iCs/>
                <w:lang w:val="fr-FR"/>
              </w:rPr>
            </w:pPr>
            <w:r w:rsidRPr="00E63BCE">
              <w:rPr>
                <w:rFonts w:cstheme="minorHAnsi"/>
                <w:i/>
                <w:iCs/>
                <w:lang w:val="fr-FR"/>
              </w:rPr>
              <w:t xml:space="preserve">- </w:t>
            </w:r>
            <w:r w:rsidR="00845423" w:rsidRPr="00E63BCE">
              <w:rPr>
                <w:rFonts w:cstheme="minorHAnsi"/>
                <w:i/>
                <w:iCs/>
                <w:lang w:val="fr-FR"/>
              </w:rPr>
              <w:t>Formation des communautés</w:t>
            </w:r>
            <w:r w:rsidR="00B97150" w:rsidRPr="00E63BCE">
              <w:rPr>
                <w:rFonts w:cstheme="minorHAnsi"/>
                <w:i/>
                <w:iCs/>
                <w:lang w:val="fr-FR"/>
              </w:rPr>
              <w:t xml:space="preserve"> sur les conflits H/E et la gestion des feux de brousse</w:t>
            </w:r>
          </w:p>
          <w:p w14:paraId="778028E0" w14:textId="71D63E5C" w:rsidR="00166AE1" w:rsidRPr="00E63BCE" w:rsidRDefault="00B97150" w:rsidP="00E63BCE">
            <w:pPr>
              <w:pStyle w:val="Sansinterligne"/>
              <w:spacing w:before="120" w:after="120"/>
              <w:jc w:val="both"/>
              <w:rPr>
                <w:rFonts w:ascii="Calibri" w:hAnsi="Calibri" w:cstheme="minorHAnsi"/>
                <w:lang w:val="fr-FR"/>
              </w:rPr>
            </w:pPr>
            <w:r>
              <w:rPr>
                <w:rFonts w:ascii="Calibri" w:hAnsi="Calibri" w:cstheme="minorHAnsi"/>
                <w:lang w:val="fr-FR"/>
              </w:rPr>
              <w:t>Quatre (4)</w:t>
            </w:r>
            <w:r w:rsidR="00845423" w:rsidRPr="00F327AC">
              <w:rPr>
                <w:rFonts w:ascii="Calibri" w:hAnsi="Calibri" w:cstheme="minorHAnsi"/>
                <w:lang w:val="fr-FR"/>
              </w:rPr>
              <w:t xml:space="preserve"> sessions de formation de 2 jours chacune </w:t>
            </w:r>
            <w:r w:rsidR="00E63BCE" w:rsidRPr="00F327AC">
              <w:rPr>
                <w:rFonts w:ascii="Calibri" w:hAnsi="Calibri" w:cstheme="minorHAnsi"/>
                <w:lang w:val="fr-FR"/>
              </w:rPr>
              <w:t>sur les conflits H/E et les techniques de gestion des feux de brousse</w:t>
            </w:r>
            <w:r w:rsidR="00E63BCE">
              <w:rPr>
                <w:rFonts w:ascii="Calibri" w:hAnsi="Calibri" w:cstheme="minorHAnsi"/>
                <w:lang w:val="fr-FR"/>
              </w:rPr>
              <w:t xml:space="preserve"> </w:t>
            </w:r>
            <w:r w:rsidR="00845423" w:rsidRPr="00F327AC">
              <w:rPr>
                <w:rFonts w:ascii="Calibri" w:hAnsi="Calibri" w:cstheme="minorHAnsi"/>
                <w:lang w:val="fr-FR"/>
              </w:rPr>
              <w:t xml:space="preserve">ont été organisées les </w:t>
            </w:r>
            <w:r>
              <w:rPr>
                <w:rFonts w:ascii="Calibri" w:hAnsi="Calibri" w:cstheme="minorHAnsi"/>
                <w:lang w:val="fr-FR"/>
              </w:rPr>
              <w:t xml:space="preserve">13-14 avril </w:t>
            </w:r>
            <w:r w:rsidR="00845423" w:rsidRPr="00F327AC">
              <w:rPr>
                <w:rFonts w:ascii="Calibri" w:hAnsi="Calibri" w:cstheme="minorHAnsi"/>
                <w:lang w:val="fr-FR"/>
              </w:rPr>
              <w:t>5-6, 7-8 et 10-11 août respectivement, au profit de</w:t>
            </w:r>
            <w:r w:rsidR="00E63BCE">
              <w:rPr>
                <w:rFonts w:ascii="Calibri" w:hAnsi="Calibri" w:cstheme="minorHAnsi"/>
                <w:lang w:val="fr-FR"/>
              </w:rPr>
              <w:t xml:space="preserve"> 365 </w:t>
            </w:r>
            <w:r w:rsidR="00E63BCE" w:rsidRPr="00B97150">
              <w:rPr>
                <w:rFonts w:ascii="Calibri" w:hAnsi="Calibri" w:cstheme="minorHAnsi"/>
                <w:lang w:val="fr-FR"/>
              </w:rPr>
              <w:t xml:space="preserve">représentants </w:t>
            </w:r>
            <w:r w:rsidR="00E63BCE">
              <w:rPr>
                <w:rFonts w:ascii="Calibri" w:hAnsi="Calibri" w:cstheme="minorHAnsi"/>
                <w:lang w:val="fr-FR"/>
              </w:rPr>
              <w:t xml:space="preserve">(261H, 103F) </w:t>
            </w:r>
            <w:r w:rsidR="00E63BCE" w:rsidRPr="00B97150">
              <w:rPr>
                <w:rFonts w:ascii="Calibri" w:hAnsi="Calibri" w:cstheme="minorHAnsi"/>
                <w:lang w:val="fr-FR"/>
              </w:rPr>
              <w:t>des chefs de villages, d</w:t>
            </w:r>
            <w:r w:rsidR="00E63BCE">
              <w:rPr>
                <w:rFonts w:ascii="Calibri" w:hAnsi="Calibri" w:cstheme="minorHAnsi"/>
                <w:lang w:val="fr-FR"/>
              </w:rPr>
              <w:t xml:space="preserve">es </w:t>
            </w:r>
            <w:r w:rsidR="00E63BCE" w:rsidRPr="00B97150">
              <w:rPr>
                <w:rFonts w:ascii="Calibri" w:hAnsi="Calibri" w:cstheme="minorHAnsi"/>
                <w:lang w:val="fr-FR"/>
              </w:rPr>
              <w:t>éleveurs, d</w:t>
            </w:r>
            <w:r w:rsidR="00E63BCE">
              <w:rPr>
                <w:rFonts w:ascii="Calibri" w:hAnsi="Calibri" w:cstheme="minorHAnsi"/>
                <w:lang w:val="fr-FR"/>
              </w:rPr>
              <w:t xml:space="preserve">es </w:t>
            </w:r>
            <w:r w:rsidR="00E63BCE" w:rsidRPr="00B97150">
              <w:rPr>
                <w:rFonts w:ascii="Calibri" w:hAnsi="Calibri" w:cstheme="minorHAnsi"/>
                <w:lang w:val="fr-FR"/>
              </w:rPr>
              <w:t>agriculteurs, d</w:t>
            </w:r>
            <w:r w:rsidR="00E63BCE">
              <w:rPr>
                <w:rFonts w:ascii="Calibri" w:hAnsi="Calibri" w:cstheme="minorHAnsi"/>
                <w:lang w:val="fr-FR"/>
              </w:rPr>
              <w:t xml:space="preserve">es </w:t>
            </w:r>
            <w:r w:rsidR="00E63BCE" w:rsidRPr="00B97150">
              <w:rPr>
                <w:rFonts w:ascii="Calibri" w:hAnsi="Calibri" w:cstheme="minorHAnsi"/>
                <w:lang w:val="fr-FR"/>
              </w:rPr>
              <w:t xml:space="preserve">exploitants forestiers, des pêcheurs, </w:t>
            </w:r>
            <w:r w:rsidR="00E63BCE">
              <w:rPr>
                <w:rFonts w:ascii="Calibri" w:hAnsi="Calibri" w:cstheme="minorHAnsi"/>
                <w:lang w:val="fr-FR"/>
              </w:rPr>
              <w:t xml:space="preserve">des </w:t>
            </w:r>
            <w:r w:rsidR="00E63BCE" w:rsidRPr="00B97150">
              <w:rPr>
                <w:rFonts w:ascii="Calibri" w:hAnsi="Calibri" w:cstheme="minorHAnsi"/>
                <w:lang w:val="fr-FR"/>
              </w:rPr>
              <w:t>transhumants et d</w:t>
            </w:r>
            <w:r w:rsidR="00E63BCE">
              <w:rPr>
                <w:rFonts w:ascii="Calibri" w:hAnsi="Calibri" w:cstheme="minorHAnsi"/>
                <w:lang w:val="fr-FR"/>
              </w:rPr>
              <w:t xml:space="preserve">es </w:t>
            </w:r>
            <w:r w:rsidR="00E63BCE" w:rsidRPr="00B97150">
              <w:rPr>
                <w:rFonts w:ascii="Calibri" w:hAnsi="Calibri" w:cstheme="minorHAnsi"/>
                <w:lang w:val="fr-FR"/>
              </w:rPr>
              <w:t>écogardes</w:t>
            </w:r>
            <w:r w:rsidR="00E63BCE">
              <w:rPr>
                <w:rFonts w:ascii="Calibri" w:hAnsi="Calibri" w:cstheme="minorHAnsi"/>
                <w:lang w:val="fr-FR"/>
              </w:rPr>
              <w:t xml:space="preserve"> des</w:t>
            </w:r>
            <w:r w:rsidR="00845423" w:rsidRPr="00F327AC">
              <w:rPr>
                <w:rFonts w:ascii="Calibri" w:hAnsi="Calibri" w:cstheme="minorHAnsi"/>
                <w:lang w:val="fr-FR"/>
              </w:rPr>
              <w:t xml:space="preserve"> 25-30 communautés ciblées d</w:t>
            </w:r>
            <w:r w:rsidR="00E63BCE">
              <w:rPr>
                <w:rFonts w:ascii="Calibri" w:hAnsi="Calibri" w:cstheme="minorHAnsi"/>
                <w:lang w:val="fr-FR"/>
              </w:rPr>
              <w:t>ans les</w:t>
            </w:r>
            <w:r w:rsidR="00845423" w:rsidRPr="00F327AC">
              <w:rPr>
                <w:rFonts w:ascii="Calibri" w:hAnsi="Calibri" w:cstheme="minorHAnsi"/>
                <w:lang w:val="fr-FR"/>
              </w:rPr>
              <w:t xml:space="preserve"> communes de Gossi, Ouinerden, Haribomo, Petaka et Hombori</w:t>
            </w:r>
            <w:r w:rsidR="00E63BCE">
              <w:rPr>
                <w:rFonts w:ascii="Calibri" w:hAnsi="Calibri" w:cstheme="minorHAnsi"/>
                <w:lang w:val="fr-FR"/>
              </w:rPr>
              <w:t xml:space="preserve">. </w:t>
            </w:r>
            <w:r w:rsidR="00845423" w:rsidRPr="00F327AC">
              <w:rPr>
                <w:rFonts w:ascii="Calibri" w:hAnsi="Calibri" w:cstheme="minorHAnsi"/>
                <w:lang w:val="fr-FR"/>
              </w:rPr>
              <w:t>L’objectif global était de renforcer les capacités</w:t>
            </w:r>
            <w:r w:rsidR="00845423">
              <w:rPr>
                <w:rFonts w:ascii="Calibri" w:hAnsi="Calibri" w:cstheme="minorHAnsi"/>
                <w:lang w:val="fr-FR"/>
              </w:rPr>
              <w:t xml:space="preserve"> des</w:t>
            </w:r>
            <w:r w:rsidR="00845423" w:rsidRPr="00F327AC">
              <w:rPr>
                <w:rFonts w:ascii="Calibri" w:hAnsi="Calibri" w:cstheme="minorHAnsi"/>
                <w:lang w:val="fr-FR"/>
              </w:rPr>
              <w:t xml:space="preserve"> communautés sur la gestion et la prévention des conflits </w:t>
            </w:r>
            <w:r w:rsidR="00E63BCE">
              <w:rPr>
                <w:rFonts w:ascii="Calibri" w:hAnsi="Calibri" w:cstheme="minorHAnsi"/>
                <w:lang w:val="fr-FR"/>
              </w:rPr>
              <w:t>H/E</w:t>
            </w:r>
            <w:r w:rsidR="00845423" w:rsidRPr="00F327AC">
              <w:rPr>
                <w:rFonts w:ascii="Calibri" w:hAnsi="Calibri" w:cstheme="minorHAnsi"/>
                <w:lang w:val="fr-FR"/>
              </w:rPr>
              <w:t xml:space="preserve"> et les techniques de gestion des feux de brousse</w:t>
            </w:r>
            <w:r w:rsidR="00E63BCE">
              <w:rPr>
                <w:rFonts w:ascii="Calibri" w:hAnsi="Calibri" w:cstheme="minorHAnsi"/>
                <w:lang w:val="fr-FR"/>
              </w:rPr>
              <w:t>, et plus spécifiquement à faire en sorte que les participants (i) maîtrisent</w:t>
            </w:r>
            <w:r w:rsidR="00E63BCE" w:rsidRPr="00E63BCE">
              <w:rPr>
                <w:rFonts w:ascii="Calibri" w:hAnsi="Calibri" w:cstheme="minorHAnsi"/>
                <w:lang w:val="fr-FR"/>
              </w:rPr>
              <w:t xml:space="preserve"> les mesures </w:t>
            </w:r>
            <w:r w:rsidR="00E63BCE">
              <w:rPr>
                <w:rFonts w:ascii="Calibri" w:hAnsi="Calibri" w:cstheme="minorHAnsi"/>
                <w:lang w:val="fr-FR"/>
              </w:rPr>
              <w:t xml:space="preserve">et </w:t>
            </w:r>
            <w:r w:rsidR="00E63BCE" w:rsidRPr="00E63BCE">
              <w:rPr>
                <w:rFonts w:ascii="Calibri" w:hAnsi="Calibri" w:cstheme="minorHAnsi"/>
                <w:lang w:val="fr-FR"/>
              </w:rPr>
              <w:t xml:space="preserve">actes de prévention des conflits </w:t>
            </w:r>
            <w:r w:rsidR="00E63BCE">
              <w:rPr>
                <w:rFonts w:ascii="Calibri" w:hAnsi="Calibri" w:cstheme="minorHAnsi"/>
                <w:lang w:val="fr-FR"/>
              </w:rPr>
              <w:t xml:space="preserve">H/E ; (ii) </w:t>
            </w:r>
            <w:r w:rsidR="00E63BCE" w:rsidRPr="00E63BCE">
              <w:rPr>
                <w:rFonts w:ascii="Calibri" w:hAnsi="Calibri" w:cstheme="minorHAnsi"/>
                <w:lang w:val="fr-FR"/>
              </w:rPr>
              <w:t>accepte</w:t>
            </w:r>
            <w:r w:rsidR="00E63BCE">
              <w:rPr>
                <w:rFonts w:ascii="Calibri" w:hAnsi="Calibri" w:cstheme="minorHAnsi"/>
                <w:lang w:val="fr-FR"/>
              </w:rPr>
              <w:t>nt</w:t>
            </w:r>
            <w:r w:rsidR="00E63BCE" w:rsidRPr="00E63BCE">
              <w:rPr>
                <w:rFonts w:ascii="Calibri" w:hAnsi="Calibri" w:cstheme="minorHAnsi"/>
                <w:lang w:val="fr-FR"/>
              </w:rPr>
              <w:t xml:space="preserve"> l’éléphant sur les mêmes espaces</w:t>
            </w:r>
            <w:r w:rsidR="00E63BCE">
              <w:rPr>
                <w:rFonts w:ascii="Calibri" w:hAnsi="Calibri" w:cstheme="minorHAnsi"/>
                <w:lang w:val="fr-FR"/>
              </w:rPr>
              <w:t> ; (iii)</w:t>
            </w:r>
            <w:r w:rsidR="00E63BCE" w:rsidRPr="00E63BCE">
              <w:rPr>
                <w:rFonts w:ascii="Calibri" w:hAnsi="Calibri" w:cstheme="minorHAnsi"/>
                <w:lang w:val="fr-FR"/>
              </w:rPr>
              <w:t xml:space="preserve"> augmente</w:t>
            </w:r>
            <w:r w:rsidR="00E63BCE">
              <w:rPr>
                <w:rFonts w:ascii="Calibri" w:hAnsi="Calibri" w:cstheme="minorHAnsi"/>
                <w:lang w:val="fr-FR"/>
              </w:rPr>
              <w:t>nt</w:t>
            </w:r>
            <w:r w:rsidR="00E63BCE" w:rsidRPr="00E63BCE">
              <w:rPr>
                <w:rFonts w:ascii="Calibri" w:hAnsi="Calibri" w:cstheme="minorHAnsi"/>
                <w:lang w:val="fr-FR"/>
              </w:rPr>
              <w:t xml:space="preserve"> l’espace nourriture pour les éléphants</w:t>
            </w:r>
            <w:r w:rsidR="00E63BCE">
              <w:rPr>
                <w:rFonts w:ascii="Calibri" w:hAnsi="Calibri" w:cstheme="minorHAnsi"/>
                <w:lang w:val="fr-FR"/>
              </w:rPr>
              <w:t xml:space="preserve"> ; (iii) </w:t>
            </w:r>
            <w:r w:rsidR="00845423" w:rsidRPr="00F327AC">
              <w:rPr>
                <w:rFonts w:ascii="Calibri" w:hAnsi="Calibri" w:cstheme="minorHAnsi"/>
                <w:lang w:val="fr-FR"/>
              </w:rPr>
              <w:t>s’approprient les techniques de gestion des feux de brousse ;</w:t>
            </w:r>
            <w:r w:rsidR="00E63BCE">
              <w:rPr>
                <w:rFonts w:ascii="Calibri" w:hAnsi="Calibri" w:cstheme="minorHAnsi"/>
                <w:lang w:val="fr-FR"/>
              </w:rPr>
              <w:t xml:space="preserve"> (iv) </w:t>
            </w:r>
            <w:r w:rsidR="00845423" w:rsidRPr="00F327AC">
              <w:rPr>
                <w:rFonts w:ascii="Calibri" w:hAnsi="Calibri" w:cstheme="minorHAnsi"/>
                <w:lang w:val="fr-FR"/>
              </w:rPr>
              <w:t xml:space="preserve">adhérent </w:t>
            </w:r>
            <w:r w:rsidR="00E63BCE">
              <w:rPr>
                <w:rFonts w:ascii="Calibri" w:hAnsi="Calibri" w:cstheme="minorHAnsi"/>
                <w:lang w:val="fr-FR"/>
              </w:rPr>
              <w:t xml:space="preserve">aux conventions </w:t>
            </w:r>
            <w:r w:rsidR="00845423" w:rsidRPr="00F327AC">
              <w:rPr>
                <w:rFonts w:ascii="Calibri" w:hAnsi="Calibri" w:cstheme="minorHAnsi"/>
                <w:lang w:val="fr-FR"/>
              </w:rPr>
              <w:t xml:space="preserve">et </w:t>
            </w:r>
            <w:r w:rsidR="00E63BCE">
              <w:rPr>
                <w:rFonts w:ascii="Calibri" w:hAnsi="Calibri" w:cstheme="minorHAnsi"/>
                <w:lang w:val="fr-FR"/>
              </w:rPr>
              <w:t xml:space="preserve">les </w:t>
            </w:r>
            <w:r w:rsidR="00845423" w:rsidRPr="00F327AC">
              <w:rPr>
                <w:rFonts w:ascii="Calibri" w:hAnsi="Calibri" w:cstheme="minorHAnsi"/>
                <w:lang w:val="fr-FR"/>
              </w:rPr>
              <w:t>mettent en œuvre</w:t>
            </w:r>
            <w:r w:rsidR="00E63BCE">
              <w:rPr>
                <w:rFonts w:ascii="Calibri" w:hAnsi="Calibri" w:cstheme="minorHAnsi"/>
                <w:lang w:val="fr-FR"/>
              </w:rPr>
              <w:t>.</w:t>
            </w:r>
          </w:p>
          <w:p w14:paraId="001B5071" w14:textId="7960A2E1" w:rsidR="00F327AC" w:rsidRPr="00683654" w:rsidRDefault="008E09B4" w:rsidP="00C32582">
            <w:pPr>
              <w:pStyle w:val="Sub-ActivityHeading"/>
            </w:pPr>
            <w:r w:rsidRPr="00683654">
              <w:t>3.1.1.5 Information sur les objectifs et les enjeux du projet, recensement des préoccupations des uns et des autres et sollicitation de leur appui et de leur adhésion</w:t>
            </w:r>
          </w:p>
          <w:p w14:paraId="3D9162FB" w14:textId="412D5945" w:rsidR="008E09B4" w:rsidRPr="000A11E6" w:rsidRDefault="008E09B4" w:rsidP="008E09B4">
            <w:pPr>
              <w:pStyle w:val="Sansinterligne"/>
              <w:spacing w:before="120" w:after="120"/>
              <w:contextualSpacing/>
              <w:jc w:val="both"/>
              <w:rPr>
                <w:rStyle w:val="Accentuationlgre"/>
              </w:rPr>
            </w:pPr>
            <w:r w:rsidRPr="000A11E6">
              <w:rPr>
                <w:rStyle w:val="Accentuationlgre"/>
              </w:rPr>
              <w:t>- Organisation et animation d'une rencontre d'information et de sensibilisation sur le contenu des conventions</w:t>
            </w:r>
          </w:p>
          <w:p w14:paraId="3B141CDC" w14:textId="261ED578" w:rsidR="008E09B4" w:rsidRDefault="008A01D3" w:rsidP="00BF2A75">
            <w:pPr>
              <w:pStyle w:val="Sansinterligne"/>
              <w:spacing w:before="120" w:after="120"/>
              <w:contextualSpacing/>
              <w:jc w:val="both"/>
              <w:rPr>
                <w:rFonts w:ascii="Calibri" w:hAnsi="Calibri" w:cstheme="minorHAnsi"/>
                <w:lang w:val="fr-FR"/>
              </w:rPr>
            </w:pPr>
            <w:r>
              <w:rPr>
                <w:rFonts w:ascii="Calibri" w:hAnsi="Calibri" w:cstheme="minorHAnsi"/>
                <w:lang w:val="fr-FR"/>
              </w:rPr>
              <w:t>Une</w:t>
            </w:r>
            <w:r w:rsidR="008E09B4" w:rsidRPr="008E09B4">
              <w:rPr>
                <w:rFonts w:ascii="Calibri" w:hAnsi="Calibri" w:cstheme="minorHAnsi"/>
                <w:lang w:val="fr-FR"/>
              </w:rPr>
              <w:t xml:space="preserve"> rencontre d’information et de sensibilisation </w:t>
            </w:r>
            <w:r w:rsidR="00BF2A75">
              <w:rPr>
                <w:rFonts w:ascii="Calibri" w:hAnsi="Calibri" w:cstheme="minorHAnsi"/>
                <w:lang w:val="fr-FR"/>
              </w:rPr>
              <w:t>d</w:t>
            </w:r>
            <w:r w:rsidR="008E09B4" w:rsidRPr="008E09B4">
              <w:rPr>
                <w:rFonts w:ascii="Calibri" w:hAnsi="Calibri" w:cstheme="minorHAnsi"/>
                <w:lang w:val="fr-FR"/>
              </w:rPr>
              <w:t xml:space="preserve">es maires, </w:t>
            </w:r>
            <w:r w:rsidR="00BF2A75">
              <w:rPr>
                <w:rFonts w:ascii="Calibri" w:hAnsi="Calibri" w:cstheme="minorHAnsi"/>
                <w:lang w:val="fr-FR"/>
              </w:rPr>
              <w:t>d</w:t>
            </w:r>
            <w:r w:rsidR="008E09B4" w:rsidRPr="008E09B4">
              <w:rPr>
                <w:rFonts w:ascii="Calibri" w:hAnsi="Calibri" w:cstheme="minorHAnsi"/>
                <w:lang w:val="fr-FR"/>
              </w:rPr>
              <w:t>es membres</w:t>
            </w:r>
            <w:r>
              <w:rPr>
                <w:rFonts w:ascii="Calibri" w:hAnsi="Calibri" w:cstheme="minorHAnsi"/>
                <w:lang w:val="fr-FR"/>
              </w:rPr>
              <w:t xml:space="preserve"> </w:t>
            </w:r>
            <w:r w:rsidR="008E09B4" w:rsidRPr="008E09B4">
              <w:rPr>
                <w:rFonts w:ascii="Calibri" w:hAnsi="Calibri" w:cstheme="minorHAnsi"/>
                <w:lang w:val="fr-FR"/>
              </w:rPr>
              <w:t xml:space="preserve">des commissions Environnement, </w:t>
            </w:r>
            <w:r w:rsidR="00BF2A75">
              <w:rPr>
                <w:rFonts w:ascii="Calibri" w:hAnsi="Calibri" w:cstheme="minorHAnsi"/>
                <w:lang w:val="fr-FR"/>
              </w:rPr>
              <w:t>d</w:t>
            </w:r>
            <w:r w:rsidR="008E09B4" w:rsidRPr="008E09B4">
              <w:rPr>
                <w:rFonts w:ascii="Calibri" w:hAnsi="Calibri" w:cstheme="minorHAnsi"/>
                <w:lang w:val="fr-FR"/>
              </w:rPr>
              <w:t xml:space="preserve">es services techniques, </w:t>
            </w:r>
            <w:r w:rsidR="00BF2A75">
              <w:rPr>
                <w:rFonts w:ascii="Calibri" w:hAnsi="Calibri" w:cstheme="minorHAnsi"/>
                <w:lang w:val="fr-FR"/>
              </w:rPr>
              <w:t xml:space="preserve">de </w:t>
            </w:r>
            <w:r w:rsidR="008E09B4" w:rsidRPr="008E09B4">
              <w:rPr>
                <w:rFonts w:ascii="Calibri" w:hAnsi="Calibri" w:cstheme="minorHAnsi"/>
                <w:lang w:val="fr-FR"/>
              </w:rPr>
              <w:t>l’administration</w:t>
            </w:r>
            <w:r w:rsidR="00BF2A75">
              <w:rPr>
                <w:rFonts w:ascii="Calibri" w:hAnsi="Calibri" w:cstheme="minorHAnsi"/>
                <w:lang w:val="fr-FR"/>
              </w:rPr>
              <w:t xml:space="preserve"> a été organisée à Douentza les 10-11 octobre 2022</w:t>
            </w:r>
            <w:r w:rsidR="008E09B4" w:rsidRPr="008E09B4">
              <w:rPr>
                <w:rFonts w:ascii="Calibri" w:hAnsi="Calibri" w:cstheme="minorHAnsi"/>
                <w:lang w:val="fr-FR"/>
              </w:rPr>
              <w:t xml:space="preserve"> </w:t>
            </w:r>
            <w:r w:rsidR="00BF2A75">
              <w:rPr>
                <w:rFonts w:ascii="Calibri" w:hAnsi="Calibri" w:cstheme="minorHAnsi"/>
                <w:lang w:val="fr-FR"/>
              </w:rPr>
              <w:t xml:space="preserve">sur les objectifs et les enjeux des conventions nouvellement signées </w:t>
            </w:r>
            <w:r w:rsidR="008E09B4" w:rsidRPr="008E09B4">
              <w:rPr>
                <w:rFonts w:ascii="Calibri" w:hAnsi="Calibri" w:cstheme="minorHAnsi"/>
                <w:lang w:val="fr-FR"/>
              </w:rPr>
              <w:t>pour solliciter leur appui et</w:t>
            </w:r>
            <w:r w:rsidR="00BF2A75">
              <w:rPr>
                <w:rFonts w:ascii="Calibri" w:hAnsi="Calibri" w:cstheme="minorHAnsi"/>
                <w:lang w:val="fr-FR"/>
              </w:rPr>
              <w:t xml:space="preserve"> leur</w:t>
            </w:r>
            <w:r w:rsidR="008E09B4" w:rsidRPr="008E09B4">
              <w:rPr>
                <w:rFonts w:ascii="Calibri" w:hAnsi="Calibri" w:cstheme="minorHAnsi"/>
                <w:lang w:val="fr-FR"/>
              </w:rPr>
              <w:t xml:space="preserve"> adhésion à l</w:t>
            </w:r>
            <w:r w:rsidR="00BF2A75">
              <w:rPr>
                <w:rFonts w:ascii="Calibri" w:hAnsi="Calibri" w:cstheme="minorHAnsi"/>
                <w:lang w:val="fr-FR"/>
              </w:rPr>
              <w:t>eur</w:t>
            </w:r>
            <w:r w:rsidR="008E09B4" w:rsidRPr="008E09B4">
              <w:rPr>
                <w:rFonts w:ascii="Calibri" w:hAnsi="Calibri" w:cstheme="minorHAnsi"/>
                <w:lang w:val="fr-FR"/>
              </w:rPr>
              <w:t xml:space="preserve"> mise en œuvre dans </w:t>
            </w:r>
            <w:r w:rsidR="00BF2A75">
              <w:rPr>
                <w:rFonts w:ascii="Calibri" w:hAnsi="Calibri" w:cstheme="minorHAnsi"/>
                <w:lang w:val="fr-FR"/>
              </w:rPr>
              <w:t xml:space="preserve">les </w:t>
            </w:r>
            <w:r w:rsidR="008E09B4" w:rsidRPr="008E09B4">
              <w:rPr>
                <w:rFonts w:ascii="Calibri" w:hAnsi="Calibri" w:cstheme="minorHAnsi"/>
                <w:lang w:val="fr-FR"/>
              </w:rPr>
              <w:t xml:space="preserve">7 communes </w:t>
            </w:r>
            <w:r w:rsidR="00BF2A75">
              <w:rPr>
                <w:rFonts w:ascii="Calibri" w:hAnsi="Calibri" w:cstheme="minorHAnsi"/>
                <w:lang w:val="fr-FR"/>
              </w:rPr>
              <w:t xml:space="preserve">impliquées, càd </w:t>
            </w:r>
            <w:r w:rsidR="008E09B4" w:rsidRPr="008E09B4">
              <w:rPr>
                <w:rFonts w:ascii="Calibri" w:hAnsi="Calibri" w:cstheme="minorHAnsi"/>
                <w:lang w:val="fr-FR"/>
              </w:rPr>
              <w:t>Gossi, Ouinerden, Haribomo, Hombori</w:t>
            </w:r>
            <w:r w:rsidR="00BF2A75">
              <w:rPr>
                <w:rFonts w:ascii="Calibri" w:hAnsi="Calibri" w:cstheme="minorHAnsi"/>
                <w:lang w:val="fr-FR"/>
              </w:rPr>
              <w:t>,</w:t>
            </w:r>
            <w:r w:rsidR="008E09B4" w:rsidRPr="008E09B4">
              <w:rPr>
                <w:rFonts w:ascii="Calibri" w:hAnsi="Calibri" w:cstheme="minorHAnsi"/>
                <w:lang w:val="fr-FR"/>
              </w:rPr>
              <w:t xml:space="preserve"> Pétaka, Bambara Maoudé et Inadiatafane</w:t>
            </w:r>
            <w:r w:rsidR="00BF2A75">
              <w:rPr>
                <w:rFonts w:ascii="Calibri" w:hAnsi="Calibri" w:cstheme="minorHAnsi"/>
                <w:lang w:val="fr-FR"/>
              </w:rPr>
              <w:t xml:space="preserve">. La rencontre a réuni </w:t>
            </w:r>
            <w:r w:rsidR="00BF2A75" w:rsidRPr="00BF2A75">
              <w:rPr>
                <w:rFonts w:ascii="Calibri" w:hAnsi="Calibri" w:cstheme="minorHAnsi"/>
                <w:lang w:val="fr-FR"/>
              </w:rPr>
              <w:t xml:space="preserve">70 personnes </w:t>
            </w:r>
            <w:r w:rsidR="00BF2A75">
              <w:rPr>
                <w:rFonts w:ascii="Calibri" w:hAnsi="Calibri" w:cstheme="minorHAnsi"/>
                <w:lang w:val="fr-FR"/>
              </w:rPr>
              <w:t>(6</w:t>
            </w:r>
            <w:r w:rsidR="00DE73A5">
              <w:rPr>
                <w:rFonts w:ascii="Calibri" w:hAnsi="Calibri" w:cstheme="minorHAnsi"/>
                <w:lang w:val="fr-FR"/>
              </w:rPr>
              <w:t>6</w:t>
            </w:r>
            <w:r w:rsidR="00BF2A75">
              <w:rPr>
                <w:rFonts w:ascii="Calibri" w:hAnsi="Calibri" w:cstheme="minorHAnsi"/>
                <w:lang w:val="fr-FR"/>
              </w:rPr>
              <w:t xml:space="preserve"> H, </w:t>
            </w:r>
            <w:r w:rsidR="00DE73A5">
              <w:rPr>
                <w:rFonts w:ascii="Calibri" w:hAnsi="Calibri" w:cstheme="minorHAnsi"/>
                <w:lang w:val="fr-FR"/>
              </w:rPr>
              <w:t>4</w:t>
            </w:r>
            <w:r w:rsidR="00BF2A75">
              <w:rPr>
                <w:rFonts w:ascii="Calibri" w:hAnsi="Calibri" w:cstheme="minorHAnsi"/>
                <w:lang w:val="fr-FR"/>
              </w:rPr>
              <w:t xml:space="preserve"> F).</w:t>
            </w:r>
          </w:p>
          <w:p w14:paraId="7841AB34" w14:textId="77777777" w:rsidR="00BF2A75" w:rsidRPr="00F327AC" w:rsidRDefault="00BF2A75" w:rsidP="00BF2A75">
            <w:pPr>
              <w:pStyle w:val="Sansinterligne"/>
              <w:spacing w:before="120" w:after="120"/>
              <w:contextualSpacing/>
              <w:jc w:val="both"/>
              <w:rPr>
                <w:rFonts w:ascii="Calibri" w:hAnsi="Calibri" w:cstheme="minorHAnsi"/>
                <w:lang w:val="fr-FR"/>
              </w:rPr>
            </w:pPr>
          </w:p>
          <w:p w14:paraId="2D7D5F8F" w14:textId="6E0890C4" w:rsidR="005B7888" w:rsidRDefault="005B7888" w:rsidP="00CC79B0">
            <w:pPr>
              <w:pStyle w:val="Activity"/>
            </w:pPr>
            <w:r w:rsidRPr="005B7888">
              <w:t>Activité 3.1.2 Concevoir des conventions locales qui respectent et renforcent la zonation et l’application de la législation relative à la zone centrale de la Reserve de Biosphère du Gourma</w:t>
            </w:r>
          </w:p>
          <w:p w14:paraId="6A703CDB" w14:textId="77777777" w:rsidR="00845423" w:rsidRPr="00203757" w:rsidRDefault="00845423" w:rsidP="00C32582">
            <w:pPr>
              <w:pStyle w:val="Sub-ActivityHeading"/>
            </w:pPr>
            <w:r w:rsidRPr="00203757">
              <w:t>3.1.2.1 Organisation d’assemblées intercommunautaires dans les sites humains limitrophes de la zone centrale de la RBG pour l’identification des villages, campements, hameaux et sites fixes de fraction à impliquer dans la conception de conventions locales</w:t>
            </w:r>
          </w:p>
          <w:p w14:paraId="05C7E77C" w14:textId="6EEE699F" w:rsidR="00030EE4" w:rsidRPr="000A11E6" w:rsidRDefault="00030EE4" w:rsidP="00995E35">
            <w:pPr>
              <w:pStyle w:val="Sansinterligne"/>
              <w:spacing w:before="120" w:after="120"/>
              <w:contextualSpacing/>
              <w:jc w:val="both"/>
              <w:rPr>
                <w:rStyle w:val="Accentuationlgre"/>
              </w:rPr>
            </w:pPr>
            <w:r w:rsidRPr="000A11E6">
              <w:rPr>
                <w:rStyle w:val="Accentuationlgre"/>
              </w:rPr>
              <w:t>- Organisation d’assemblées générales dans les villages, campements, hameaux et sites fixes de fractions situés dans et autour des zones centrales</w:t>
            </w:r>
            <w:r w:rsidR="00494D0D" w:rsidRPr="000A11E6">
              <w:rPr>
                <w:rStyle w:val="Accentuationlgre"/>
              </w:rPr>
              <w:t xml:space="preserve"> et leurs communes limitrophes</w:t>
            </w:r>
          </w:p>
          <w:p w14:paraId="64216423" w14:textId="4B56DA51" w:rsidR="00995E35" w:rsidRDefault="00995E35" w:rsidP="00995E35">
            <w:pPr>
              <w:pStyle w:val="Sansinterligne"/>
              <w:spacing w:before="120" w:after="120"/>
              <w:jc w:val="both"/>
              <w:rPr>
                <w:rFonts w:cstheme="minorHAnsi"/>
                <w:lang w:val="fr-FR"/>
              </w:rPr>
            </w:pPr>
            <w:r>
              <w:rPr>
                <w:rFonts w:cstheme="minorHAnsi"/>
                <w:lang w:val="fr-FR"/>
              </w:rPr>
              <w:t>Des</w:t>
            </w:r>
            <w:r w:rsidRPr="00995E35">
              <w:rPr>
                <w:rFonts w:cstheme="minorHAnsi"/>
                <w:lang w:val="fr-FR"/>
              </w:rPr>
              <w:t xml:space="preserve"> assemblées générales </w:t>
            </w:r>
            <w:r>
              <w:rPr>
                <w:rFonts w:cstheme="minorHAnsi"/>
                <w:lang w:val="fr-FR"/>
              </w:rPr>
              <w:t xml:space="preserve">se sont déroulées du 7 au 18 avril </w:t>
            </w:r>
            <w:r w:rsidR="00030EE4">
              <w:rPr>
                <w:rFonts w:cstheme="minorHAnsi"/>
                <w:lang w:val="fr-FR"/>
              </w:rPr>
              <w:t xml:space="preserve">2022 </w:t>
            </w:r>
            <w:r w:rsidRPr="00995E35">
              <w:rPr>
                <w:rFonts w:cstheme="minorHAnsi"/>
                <w:lang w:val="fr-FR"/>
              </w:rPr>
              <w:t>dans les villages, campements et hameaux situés autour des zones centrales de Banzéna (</w:t>
            </w:r>
            <w:r>
              <w:rPr>
                <w:rFonts w:cstheme="minorHAnsi"/>
                <w:lang w:val="fr-FR"/>
              </w:rPr>
              <w:t xml:space="preserve">commune de </w:t>
            </w:r>
            <w:r w:rsidRPr="00995E35">
              <w:rPr>
                <w:rFonts w:cstheme="minorHAnsi"/>
                <w:lang w:val="fr-FR"/>
              </w:rPr>
              <w:t>Bambara</w:t>
            </w:r>
            <w:r>
              <w:rPr>
                <w:rFonts w:cstheme="minorHAnsi"/>
                <w:lang w:val="fr-FR"/>
              </w:rPr>
              <w:t>-</w:t>
            </w:r>
            <w:r w:rsidRPr="00995E35">
              <w:rPr>
                <w:rFonts w:cstheme="minorHAnsi"/>
                <w:lang w:val="fr-FR"/>
              </w:rPr>
              <w:t>Maoudé) et Talawat</w:t>
            </w:r>
            <w:r>
              <w:rPr>
                <w:rFonts w:cstheme="minorHAnsi"/>
                <w:lang w:val="fr-FR"/>
              </w:rPr>
              <w:t xml:space="preserve"> </w:t>
            </w:r>
            <w:r w:rsidRPr="00995E35">
              <w:rPr>
                <w:rFonts w:cstheme="minorHAnsi"/>
                <w:lang w:val="fr-FR"/>
              </w:rPr>
              <w:t>(</w:t>
            </w:r>
            <w:r>
              <w:rPr>
                <w:rFonts w:cstheme="minorHAnsi"/>
                <w:lang w:val="fr-FR"/>
              </w:rPr>
              <w:t>commune d’</w:t>
            </w:r>
            <w:r w:rsidRPr="00995E35">
              <w:rPr>
                <w:rFonts w:cstheme="minorHAnsi"/>
                <w:lang w:val="fr-FR"/>
              </w:rPr>
              <w:t xml:space="preserve">Inadiatafane) pour </w:t>
            </w:r>
            <w:r w:rsidR="008A1A8F">
              <w:rPr>
                <w:rFonts w:cstheme="minorHAnsi"/>
                <w:lang w:val="fr-FR"/>
              </w:rPr>
              <w:t xml:space="preserve">(i) collecter </w:t>
            </w:r>
            <w:r w:rsidR="008A1A8F" w:rsidRPr="008A1A8F">
              <w:rPr>
                <w:rFonts w:cstheme="minorHAnsi"/>
                <w:lang w:val="fr-FR"/>
              </w:rPr>
              <w:t>des données sur la cohésion sociale, les zones d'exploitation/utilisation des communes, les règles et sanctions locales en vigueur et les zones à risque de conflits</w:t>
            </w:r>
            <w:r w:rsidR="008A1A8F">
              <w:rPr>
                <w:rFonts w:cstheme="minorHAnsi"/>
                <w:lang w:val="fr-FR"/>
              </w:rPr>
              <w:t xml:space="preserve"> en préparation des conventions, (ii)</w:t>
            </w:r>
            <w:r w:rsidR="008A1A8F" w:rsidRPr="008A1A8F">
              <w:rPr>
                <w:rFonts w:cstheme="minorHAnsi"/>
                <w:lang w:val="fr-FR"/>
              </w:rPr>
              <w:t xml:space="preserve"> </w:t>
            </w:r>
            <w:r w:rsidRPr="00995E35">
              <w:rPr>
                <w:rFonts w:cstheme="minorHAnsi"/>
                <w:lang w:val="fr-FR"/>
              </w:rPr>
              <w:t>solliciter l</w:t>
            </w:r>
            <w:r w:rsidR="008A1A8F">
              <w:rPr>
                <w:rFonts w:cstheme="minorHAnsi"/>
                <w:lang w:val="fr-FR"/>
              </w:rPr>
              <w:t>’</w:t>
            </w:r>
            <w:r w:rsidRPr="00995E35">
              <w:rPr>
                <w:rFonts w:cstheme="minorHAnsi"/>
                <w:lang w:val="fr-FR"/>
              </w:rPr>
              <w:t xml:space="preserve">adhésion et </w:t>
            </w:r>
            <w:r>
              <w:rPr>
                <w:rFonts w:cstheme="minorHAnsi"/>
                <w:lang w:val="fr-FR"/>
              </w:rPr>
              <w:t>l</w:t>
            </w:r>
            <w:r w:rsidR="008A1A8F">
              <w:rPr>
                <w:rFonts w:cstheme="minorHAnsi"/>
                <w:lang w:val="fr-FR"/>
              </w:rPr>
              <w:t>e</w:t>
            </w:r>
            <w:r>
              <w:rPr>
                <w:rFonts w:cstheme="minorHAnsi"/>
                <w:lang w:val="fr-FR"/>
              </w:rPr>
              <w:t xml:space="preserve"> </w:t>
            </w:r>
            <w:r w:rsidRPr="00995E35">
              <w:rPr>
                <w:rFonts w:cstheme="minorHAnsi"/>
                <w:lang w:val="fr-FR"/>
              </w:rPr>
              <w:t xml:space="preserve">soutien </w:t>
            </w:r>
            <w:r w:rsidR="008A1A8F">
              <w:rPr>
                <w:rFonts w:cstheme="minorHAnsi"/>
                <w:lang w:val="fr-FR"/>
              </w:rPr>
              <w:t xml:space="preserve">des communautés </w:t>
            </w:r>
            <w:r w:rsidRPr="00995E35">
              <w:rPr>
                <w:rFonts w:cstheme="minorHAnsi"/>
                <w:lang w:val="fr-FR"/>
              </w:rPr>
              <w:t>en vue de concevoir des conventions qui respectent et renforcent la zonation et l’application de la législation relative à l</w:t>
            </w:r>
            <w:r>
              <w:rPr>
                <w:rFonts w:cstheme="minorHAnsi"/>
                <w:lang w:val="fr-FR"/>
              </w:rPr>
              <w:t>a</w:t>
            </w:r>
            <w:r w:rsidRPr="00995E35">
              <w:rPr>
                <w:rFonts w:cstheme="minorHAnsi"/>
                <w:lang w:val="fr-FR"/>
              </w:rPr>
              <w:t xml:space="preserve"> zone centrale de la Réserve de Biosphère du Gourma. </w:t>
            </w:r>
            <w:r w:rsidR="0087319D">
              <w:rPr>
                <w:rFonts w:cstheme="minorHAnsi"/>
                <w:lang w:val="fr-FR"/>
              </w:rPr>
              <w:t xml:space="preserve">La collecte des données a été assurée par 6 éco-gardes de la zone formés à cet effet. </w:t>
            </w:r>
            <w:r w:rsidRPr="00995E35">
              <w:rPr>
                <w:rFonts w:cstheme="minorHAnsi"/>
                <w:lang w:val="fr-FR"/>
              </w:rPr>
              <w:t>Au total 16 assemblées générales ont été tenues</w:t>
            </w:r>
            <w:r>
              <w:rPr>
                <w:rFonts w:cstheme="minorHAnsi"/>
                <w:lang w:val="fr-FR"/>
              </w:rPr>
              <w:t xml:space="preserve">, regroupant au total </w:t>
            </w:r>
            <w:r w:rsidRPr="00995E35">
              <w:rPr>
                <w:rFonts w:cstheme="minorHAnsi"/>
                <w:lang w:val="fr-FR"/>
              </w:rPr>
              <w:t>802</w:t>
            </w:r>
            <w:r>
              <w:rPr>
                <w:rFonts w:cstheme="minorHAnsi"/>
                <w:lang w:val="fr-FR"/>
              </w:rPr>
              <w:t xml:space="preserve"> participants</w:t>
            </w:r>
            <w:r w:rsidRPr="00995E35">
              <w:rPr>
                <w:rFonts w:cstheme="minorHAnsi"/>
                <w:lang w:val="fr-FR"/>
              </w:rPr>
              <w:t xml:space="preserve"> dont 154 femmes</w:t>
            </w:r>
            <w:r>
              <w:rPr>
                <w:rFonts w:cstheme="minorHAnsi"/>
                <w:lang w:val="fr-FR"/>
              </w:rPr>
              <w:t xml:space="preserve"> (</w:t>
            </w:r>
            <w:r w:rsidRPr="00995E35">
              <w:rPr>
                <w:rFonts w:cstheme="minorHAnsi"/>
                <w:lang w:val="fr-FR"/>
              </w:rPr>
              <w:t xml:space="preserve">452 participants dont 87 femmes </w:t>
            </w:r>
            <w:r>
              <w:rPr>
                <w:rFonts w:cstheme="minorHAnsi"/>
                <w:lang w:val="fr-FR"/>
              </w:rPr>
              <w:t xml:space="preserve">dans la commune de BM, </w:t>
            </w:r>
            <w:r w:rsidRPr="00995E35">
              <w:rPr>
                <w:rFonts w:cstheme="minorHAnsi"/>
                <w:lang w:val="fr-FR"/>
              </w:rPr>
              <w:t>350 participants dont 67 femmes</w:t>
            </w:r>
            <w:r>
              <w:rPr>
                <w:rFonts w:cstheme="minorHAnsi"/>
                <w:lang w:val="fr-FR"/>
              </w:rPr>
              <w:t xml:space="preserve"> dans la commune d’Inadiatafane).</w:t>
            </w:r>
            <w:r w:rsidR="0087319D">
              <w:rPr>
                <w:rFonts w:cstheme="minorHAnsi"/>
                <w:lang w:val="fr-FR"/>
              </w:rPr>
              <w:t xml:space="preserve"> </w:t>
            </w:r>
          </w:p>
          <w:p w14:paraId="3D5B9099" w14:textId="711FFA5B" w:rsidR="00494D0D" w:rsidRPr="00845423" w:rsidRDefault="00494D0D" w:rsidP="00494D0D">
            <w:pPr>
              <w:pStyle w:val="Sansinterligne"/>
              <w:spacing w:before="120" w:after="120"/>
              <w:jc w:val="both"/>
              <w:rPr>
                <w:rFonts w:cstheme="minorHAnsi"/>
                <w:lang w:val="fr-FR"/>
              </w:rPr>
            </w:pPr>
            <w:r>
              <w:rPr>
                <w:rFonts w:cstheme="minorHAnsi"/>
                <w:lang w:val="fr-FR"/>
              </w:rPr>
              <w:t xml:space="preserve">Ces assemblées générales se sont poursuivies au mois de juillet </w:t>
            </w:r>
            <w:r w:rsidRPr="00995E35">
              <w:rPr>
                <w:rFonts w:cstheme="minorHAnsi"/>
                <w:lang w:val="fr-FR"/>
              </w:rPr>
              <w:t>dans les villages, campements et hameaux situés autour des zones centrales de Banzéna (</w:t>
            </w:r>
            <w:r>
              <w:rPr>
                <w:rFonts w:cstheme="minorHAnsi"/>
                <w:lang w:val="fr-FR"/>
              </w:rPr>
              <w:t xml:space="preserve">commune de </w:t>
            </w:r>
            <w:r w:rsidRPr="00995E35">
              <w:rPr>
                <w:rFonts w:cstheme="minorHAnsi"/>
                <w:lang w:val="fr-FR"/>
              </w:rPr>
              <w:t>Bambara</w:t>
            </w:r>
            <w:r>
              <w:rPr>
                <w:rFonts w:cstheme="minorHAnsi"/>
                <w:lang w:val="fr-FR"/>
              </w:rPr>
              <w:t>-</w:t>
            </w:r>
            <w:r w:rsidRPr="00995E35">
              <w:rPr>
                <w:rFonts w:cstheme="minorHAnsi"/>
                <w:lang w:val="fr-FR"/>
              </w:rPr>
              <w:t>Maoudé) et Talawat</w:t>
            </w:r>
            <w:r>
              <w:rPr>
                <w:rFonts w:cstheme="minorHAnsi"/>
                <w:lang w:val="fr-FR"/>
              </w:rPr>
              <w:t xml:space="preserve"> </w:t>
            </w:r>
            <w:r w:rsidRPr="00995E35">
              <w:rPr>
                <w:rFonts w:cstheme="minorHAnsi"/>
                <w:lang w:val="fr-FR"/>
              </w:rPr>
              <w:t>(</w:t>
            </w:r>
            <w:r>
              <w:rPr>
                <w:rFonts w:cstheme="minorHAnsi"/>
                <w:lang w:val="fr-FR"/>
              </w:rPr>
              <w:t>commune d’</w:t>
            </w:r>
            <w:r w:rsidRPr="00995E35">
              <w:rPr>
                <w:rFonts w:cstheme="minorHAnsi"/>
                <w:lang w:val="fr-FR"/>
              </w:rPr>
              <w:t>Inadiatafane)</w:t>
            </w:r>
            <w:r>
              <w:rPr>
                <w:rFonts w:cstheme="minorHAnsi"/>
                <w:lang w:val="fr-FR"/>
              </w:rPr>
              <w:t>, ainsi que dans les communes limitrophes de</w:t>
            </w:r>
            <w:r w:rsidRPr="00B127FB">
              <w:rPr>
                <w:rFonts w:cstheme="minorHAnsi"/>
                <w:lang w:val="fr-FR"/>
              </w:rPr>
              <w:t xml:space="preserve"> Hombori, Gossi, Ouinerden et Haribomo</w:t>
            </w:r>
            <w:r>
              <w:rPr>
                <w:rFonts w:cstheme="minorHAnsi"/>
                <w:lang w:val="fr-FR"/>
              </w:rPr>
              <w:t>. D</w:t>
            </w:r>
            <w:r w:rsidRPr="00C45744">
              <w:rPr>
                <w:rFonts w:cstheme="minorHAnsi"/>
                <w:lang w:val="fr-FR"/>
              </w:rPr>
              <w:t>ouze (12) écogardes</w:t>
            </w:r>
            <w:r>
              <w:rPr>
                <w:rFonts w:cstheme="minorHAnsi"/>
                <w:lang w:val="fr-FR"/>
              </w:rPr>
              <w:t xml:space="preserve"> ont été formés</w:t>
            </w:r>
            <w:r w:rsidRPr="00D25114">
              <w:rPr>
                <w:rFonts w:cstheme="minorHAnsi"/>
                <w:lang w:val="fr-FR"/>
              </w:rPr>
              <w:t xml:space="preserve"> </w:t>
            </w:r>
            <w:r>
              <w:rPr>
                <w:rFonts w:cstheme="minorHAnsi"/>
                <w:lang w:val="fr-FR"/>
              </w:rPr>
              <w:t>et appuyés à cette occasion pour continuer la collecte des</w:t>
            </w:r>
            <w:r w:rsidRPr="00D25114">
              <w:rPr>
                <w:rFonts w:cstheme="minorHAnsi"/>
                <w:lang w:val="fr-FR"/>
              </w:rPr>
              <w:t xml:space="preserve"> données</w:t>
            </w:r>
            <w:r>
              <w:rPr>
                <w:rFonts w:cstheme="minorHAnsi"/>
                <w:lang w:val="fr-FR"/>
              </w:rPr>
              <w:t>. Les 51 assemblées ont re</w:t>
            </w:r>
            <w:r w:rsidR="008C25BE">
              <w:rPr>
                <w:rFonts w:cstheme="minorHAnsi"/>
                <w:lang w:val="fr-FR"/>
              </w:rPr>
              <w:t>gr</w:t>
            </w:r>
            <w:r>
              <w:rPr>
                <w:rFonts w:cstheme="minorHAnsi"/>
                <w:lang w:val="fr-FR"/>
              </w:rPr>
              <w:t xml:space="preserve">oupé 4 058 participants. </w:t>
            </w:r>
          </w:p>
          <w:p w14:paraId="5E024272" w14:textId="7CC711B9" w:rsidR="00494D0D" w:rsidRDefault="00494D0D" w:rsidP="00995E35">
            <w:pPr>
              <w:pStyle w:val="Sansinterligne"/>
              <w:spacing w:before="120" w:after="120"/>
              <w:jc w:val="both"/>
              <w:rPr>
                <w:rFonts w:cstheme="minorHAnsi"/>
                <w:lang w:val="fr-FR"/>
              </w:rPr>
            </w:pPr>
          </w:p>
          <w:p w14:paraId="4168AC71" w14:textId="6B360632" w:rsidR="00845423" w:rsidRPr="00845423" w:rsidRDefault="00845423" w:rsidP="00C32582">
            <w:pPr>
              <w:pStyle w:val="Sub-ActivityHeading"/>
              <w:rPr>
                <w:rFonts w:ascii="Arial Narrow" w:hAnsi="Arial Narrow" w:cs="Times New Roman"/>
                <w:sz w:val="20"/>
                <w:szCs w:val="20"/>
              </w:rPr>
            </w:pPr>
            <w:r w:rsidRPr="00AA0032">
              <w:t xml:space="preserve">3.1.2.2 </w:t>
            </w:r>
            <w:r w:rsidR="00664447" w:rsidRPr="00AA0032">
              <w:t>Élaboration</w:t>
            </w:r>
            <w:r w:rsidRPr="00AA0032">
              <w:t xml:space="preserve"> des conventions locales respectant et renforçant le zonage et l’application de la législation relative à la zone centrale de la Reserve de Biosphère du Gourma</w:t>
            </w:r>
            <w:r w:rsidRPr="00845423">
              <w:rPr>
                <w:rFonts w:ascii="Arial Narrow" w:hAnsi="Arial Narrow" w:cs="Times New Roman"/>
                <w:sz w:val="20"/>
                <w:szCs w:val="20"/>
              </w:rPr>
              <w:t xml:space="preserve"> </w:t>
            </w:r>
          </w:p>
          <w:p w14:paraId="67AC3C45" w14:textId="007AC556" w:rsidR="00845423" w:rsidRPr="000A11E6" w:rsidRDefault="00AA0032" w:rsidP="00845423">
            <w:pPr>
              <w:pStyle w:val="Sansinterligne"/>
              <w:spacing w:before="120" w:after="120"/>
              <w:contextualSpacing/>
              <w:jc w:val="both"/>
              <w:rPr>
                <w:rStyle w:val="Accentuationlgre"/>
              </w:rPr>
            </w:pPr>
            <w:r w:rsidRPr="000A11E6">
              <w:rPr>
                <w:rStyle w:val="Accentuationlgre"/>
              </w:rPr>
              <w:t xml:space="preserve">- </w:t>
            </w:r>
            <w:r w:rsidR="00845423" w:rsidRPr="000A11E6">
              <w:rPr>
                <w:rStyle w:val="Accentuationlgre"/>
              </w:rPr>
              <w:t>Atelier d’amendement et d’amélioration des conventions</w:t>
            </w:r>
          </w:p>
          <w:p w14:paraId="44B957C2" w14:textId="2F50C05D" w:rsidR="004B0B0A" w:rsidRDefault="004B0B0A" w:rsidP="00664447">
            <w:pPr>
              <w:pStyle w:val="Sansinterligne"/>
              <w:spacing w:before="120" w:after="120"/>
              <w:contextualSpacing/>
              <w:jc w:val="both"/>
              <w:rPr>
                <w:rFonts w:ascii="Calibri" w:hAnsi="Calibri" w:cstheme="minorHAnsi"/>
                <w:lang w:val="fr-FR"/>
              </w:rPr>
            </w:pPr>
            <w:r w:rsidRPr="004B0B0A">
              <w:rPr>
                <w:rFonts w:ascii="Calibri" w:hAnsi="Calibri" w:cstheme="minorHAnsi"/>
                <w:lang w:val="fr-FR"/>
              </w:rPr>
              <w:t xml:space="preserve">Les 4, 5 et 6 </w:t>
            </w:r>
            <w:r>
              <w:rPr>
                <w:rFonts w:ascii="Calibri" w:hAnsi="Calibri" w:cstheme="minorHAnsi"/>
                <w:lang w:val="fr-FR"/>
              </w:rPr>
              <w:t>j</w:t>
            </w:r>
            <w:r w:rsidRPr="004B0B0A">
              <w:rPr>
                <w:rFonts w:ascii="Calibri" w:hAnsi="Calibri" w:cstheme="minorHAnsi"/>
                <w:lang w:val="fr-FR"/>
              </w:rPr>
              <w:t>uillet 2022 s’est déroulée dans la salle de conférences du conseil régional de Mopti la rencontre technique d’amendement et d’amélioration des draft de conventions</w:t>
            </w:r>
            <w:r>
              <w:rPr>
                <w:rFonts w:ascii="Calibri" w:hAnsi="Calibri" w:cstheme="minorHAnsi"/>
                <w:lang w:val="fr-FR"/>
              </w:rPr>
              <w:t xml:space="preserve"> qui a regroupé 61 personnes</w:t>
            </w:r>
            <w:r w:rsidRPr="004B0B0A">
              <w:rPr>
                <w:rFonts w:ascii="Calibri" w:hAnsi="Calibri" w:cstheme="minorHAnsi"/>
                <w:lang w:val="fr-FR"/>
              </w:rPr>
              <w:t>. Quatre types de conventions étaient concernés par ce travail</w:t>
            </w:r>
            <w:r>
              <w:rPr>
                <w:rFonts w:ascii="Calibri" w:hAnsi="Calibri" w:cstheme="minorHAnsi"/>
                <w:lang w:val="fr-FR"/>
              </w:rPr>
              <w:t>, à savoir : d</w:t>
            </w:r>
            <w:r w:rsidRPr="004B0B0A">
              <w:rPr>
                <w:rFonts w:ascii="Calibri" w:hAnsi="Calibri" w:cstheme="minorHAnsi"/>
                <w:lang w:val="fr-FR"/>
              </w:rPr>
              <w:t xml:space="preserve">es conventions </w:t>
            </w:r>
            <w:r>
              <w:rPr>
                <w:rFonts w:ascii="Calibri" w:hAnsi="Calibri" w:cstheme="minorHAnsi"/>
                <w:lang w:val="fr-FR"/>
              </w:rPr>
              <w:t xml:space="preserve">(i) </w:t>
            </w:r>
            <w:r w:rsidRPr="004B0B0A">
              <w:rPr>
                <w:rFonts w:ascii="Calibri" w:hAnsi="Calibri" w:cstheme="minorHAnsi"/>
                <w:lang w:val="fr-FR"/>
              </w:rPr>
              <w:t xml:space="preserve">communales </w:t>
            </w:r>
            <w:r>
              <w:rPr>
                <w:rFonts w:ascii="Calibri" w:hAnsi="Calibri" w:cstheme="minorHAnsi"/>
                <w:lang w:val="fr-FR"/>
              </w:rPr>
              <w:t xml:space="preserve">et (ii) intercommunales </w:t>
            </w:r>
            <w:r w:rsidRPr="004B0B0A">
              <w:rPr>
                <w:rFonts w:ascii="Calibri" w:hAnsi="Calibri" w:cstheme="minorHAnsi"/>
                <w:lang w:val="fr-FR"/>
              </w:rPr>
              <w:t>qui respectent et renforcent la zonation et l’application de la législation relative à la zone centrale de Biosphère du Gourma ;</w:t>
            </w:r>
            <w:r>
              <w:rPr>
                <w:rFonts w:ascii="Calibri" w:hAnsi="Calibri" w:cstheme="minorHAnsi"/>
                <w:lang w:val="fr-FR"/>
              </w:rPr>
              <w:t xml:space="preserve"> d</w:t>
            </w:r>
            <w:r w:rsidRPr="004B0B0A">
              <w:rPr>
                <w:rFonts w:ascii="Calibri" w:hAnsi="Calibri" w:cstheme="minorHAnsi"/>
                <w:lang w:val="fr-FR"/>
              </w:rPr>
              <w:t xml:space="preserve">es conventions </w:t>
            </w:r>
            <w:r>
              <w:rPr>
                <w:rFonts w:ascii="Calibri" w:hAnsi="Calibri" w:cstheme="minorHAnsi"/>
                <w:lang w:val="fr-FR"/>
              </w:rPr>
              <w:t xml:space="preserve">(iii) </w:t>
            </w:r>
            <w:r w:rsidRPr="004B0B0A">
              <w:rPr>
                <w:rFonts w:ascii="Calibri" w:hAnsi="Calibri" w:cstheme="minorHAnsi"/>
                <w:lang w:val="fr-FR"/>
              </w:rPr>
              <w:t xml:space="preserve">communales </w:t>
            </w:r>
            <w:r>
              <w:rPr>
                <w:rFonts w:ascii="Calibri" w:hAnsi="Calibri" w:cstheme="minorHAnsi"/>
                <w:lang w:val="fr-FR"/>
              </w:rPr>
              <w:t xml:space="preserve">et (iv) intercommunales </w:t>
            </w:r>
            <w:r w:rsidRPr="004B0B0A">
              <w:rPr>
                <w:rFonts w:ascii="Calibri" w:hAnsi="Calibri" w:cstheme="minorHAnsi"/>
                <w:lang w:val="fr-FR"/>
              </w:rPr>
              <w:t>de gestion des ressources naturelles</w:t>
            </w:r>
            <w:r>
              <w:rPr>
                <w:rFonts w:ascii="Calibri" w:hAnsi="Calibri" w:cstheme="minorHAnsi"/>
                <w:lang w:val="fr-FR"/>
              </w:rPr>
              <w:t>.</w:t>
            </w:r>
          </w:p>
          <w:p w14:paraId="436C0D3A" w14:textId="77777777" w:rsidR="00664447" w:rsidRDefault="00664447" w:rsidP="00664447">
            <w:pPr>
              <w:pStyle w:val="Sansinterligne"/>
              <w:spacing w:before="120" w:after="120"/>
              <w:contextualSpacing/>
              <w:jc w:val="both"/>
              <w:rPr>
                <w:rFonts w:ascii="Calibri" w:hAnsi="Calibri" w:cstheme="minorHAnsi"/>
                <w:lang w:val="fr-FR"/>
              </w:rPr>
            </w:pPr>
          </w:p>
          <w:p w14:paraId="44047508" w14:textId="3CFCA5A9" w:rsidR="00722194" w:rsidRPr="00664447" w:rsidRDefault="004B0B0A" w:rsidP="00664447">
            <w:pPr>
              <w:pStyle w:val="Sansinterligne"/>
              <w:spacing w:before="120" w:after="120"/>
              <w:contextualSpacing/>
              <w:jc w:val="both"/>
              <w:rPr>
                <w:rFonts w:ascii="Calibri" w:hAnsi="Calibri" w:cstheme="minorHAnsi"/>
                <w:lang w:val="fr-FR"/>
              </w:rPr>
            </w:pPr>
            <w:r>
              <w:rPr>
                <w:rFonts w:ascii="Calibri" w:hAnsi="Calibri" w:cstheme="minorHAnsi"/>
                <w:lang w:val="fr-FR"/>
              </w:rPr>
              <w:t>Après un</w:t>
            </w:r>
            <w:r w:rsidR="00664447">
              <w:rPr>
                <w:rFonts w:ascii="Calibri" w:hAnsi="Calibri" w:cstheme="minorHAnsi"/>
                <w:lang w:val="fr-FR"/>
              </w:rPr>
              <w:t xml:space="preserve"> rappel introductif </w:t>
            </w:r>
            <w:r>
              <w:rPr>
                <w:rFonts w:ascii="Calibri" w:hAnsi="Calibri" w:cstheme="minorHAnsi"/>
                <w:lang w:val="fr-FR"/>
              </w:rPr>
              <w:t>su</w:t>
            </w:r>
            <w:r w:rsidR="00664447">
              <w:rPr>
                <w:rFonts w:ascii="Calibri" w:hAnsi="Calibri" w:cstheme="minorHAnsi"/>
                <w:lang w:val="fr-FR"/>
              </w:rPr>
              <w:t xml:space="preserve">r les </w:t>
            </w:r>
            <w:r w:rsidRPr="004B0B0A">
              <w:rPr>
                <w:rFonts w:ascii="Calibri" w:hAnsi="Calibri" w:cstheme="minorHAnsi"/>
                <w:lang w:val="fr-FR"/>
              </w:rPr>
              <w:t>différents types de conventions</w:t>
            </w:r>
            <w:r w:rsidR="00664447">
              <w:rPr>
                <w:rFonts w:ascii="Calibri" w:hAnsi="Calibri" w:cstheme="minorHAnsi"/>
                <w:lang w:val="fr-FR"/>
              </w:rPr>
              <w:t>, l</w:t>
            </w:r>
            <w:r w:rsidRPr="004B0B0A">
              <w:rPr>
                <w:rFonts w:ascii="Calibri" w:hAnsi="Calibri" w:cstheme="minorHAnsi"/>
                <w:lang w:val="fr-FR"/>
              </w:rPr>
              <w:t>eur processus d’élaboration</w:t>
            </w:r>
            <w:r w:rsidR="00664447">
              <w:rPr>
                <w:rFonts w:ascii="Calibri" w:hAnsi="Calibri" w:cstheme="minorHAnsi"/>
                <w:lang w:val="fr-FR"/>
              </w:rPr>
              <w:t>, leurs</w:t>
            </w:r>
            <w:r w:rsidRPr="004B0B0A">
              <w:rPr>
                <w:rFonts w:ascii="Calibri" w:hAnsi="Calibri" w:cstheme="minorHAnsi"/>
                <w:lang w:val="fr-FR"/>
              </w:rPr>
              <w:t xml:space="preserve"> objectifs et l</w:t>
            </w:r>
            <w:r w:rsidR="00664447">
              <w:rPr>
                <w:rFonts w:ascii="Calibri" w:hAnsi="Calibri" w:cstheme="minorHAnsi"/>
                <w:lang w:val="fr-FR"/>
              </w:rPr>
              <w:t>eur</w:t>
            </w:r>
            <w:r w:rsidRPr="004B0B0A">
              <w:rPr>
                <w:rFonts w:ascii="Calibri" w:hAnsi="Calibri" w:cstheme="minorHAnsi"/>
                <w:lang w:val="fr-FR"/>
              </w:rPr>
              <w:t xml:space="preserve"> mise en œuvre</w:t>
            </w:r>
            <w:r w:rsidR="00664447">
              <w:rPr>
                <w:rFonts w:ascii="Calibri" w:hAnsi="Calibri" w:cstheme="minorHAnsi"/>
                <w:lang w:val="fr-FR"/>
              </w:rPr>
              <w:t xml:space="preserve">, leur </w:t>
            </w:r>
            <w:r w:rsidRPr="004B0B0A">
              <w:rPr>
                <w:rFonts w:ascii="Calibri" w:hAnsi="Calibri" w:cstheme="minorHAnsi"/>
                <w:lang w:val="fr-FR"/>
              </w:rPr>
              <w:t>impact et l</w:t>
            </w:r>
            <w:r w:rsidR="00664447">
              <w:rPr>
                <w:rFonts w:ascii="Calibri" w:hAnsi="Calibri" w:cstheme="minorHAnsi"/>
                <w:lang w:val="fr-FR"/>
              </w:rPr>
              <w:t>eur</w:t>
            </w:r>
            <w:r w:rsidRPr="004B0B0A">
              <w:rPr>
                <w:rFonts w:ascii="Calibri" w:hAnsi="Calibri" w:cstheme="minorHAnsi"/>
                <w:lang w:val="fr-FR"/>
              </w:rPr>
              <w:t xml:space="preserve"> durabilité</w:t>
            </w:r>
            <w:r w:rsidR="00664447">
              <w:rPr>
                <w:rFonts w:ascii="Calibri" w:hAnsi="Calibri" w:cstheme="minorHAnsi"/>
                <w:lang w:val="fr-FR"/>
              </w:rPr>
              <w:t xml:space="preserve">, ainsi que leur cadre juridique, </w:t>
            </w:r>
            <w:r w:rsidRPr="004B0B0A">
              <w:rPr>
                <w:rFonts w:ascii="Calibri" w:hAnsi="Calibri" w:cstheme="minorHAnsi"/>
                <w:lang w:val="fr-FR"/>
              </w:rPr>
              <w:t>les travaux se sont poursuivis par la présentation, l’amendement et l’amélioration des conventions</w:t>
            </w:r>
            <w:r w:rsidR="00664447">
              <w:rPr>
                <w:rFonts w:ascii="Calibri" w:hAnsi="Calibri" w:cstheme="minorHAnsi"/>
                <w:lang w:val="fr-FR"/>
              </w:rPr>
              <w:t xml:space="preserve">. A la fin des travaux, </w:t>
            </w:r>
            <w:r w:rsidRPr="004B0B0A">
              <w:rPr>
                <w:rFonts w:ascii="Calibri" w:hAnsi="Calibri" w:cstheme="minorHAnsi"/>
                <w:lang w:val="fr-FR"/>
              </w:rPr>
              <w:t xml:space="preserve">les participants ont </w:t>
            </w:r>
            <w:r w:rsidR="00664447">
              <w:rPr>
                <w:rFonts w:ascii="Calibri" w:hAnsi="Calibri" w:cstheme="minorHAnsi"/>
                <w:lang w:val="fr-FR"/>
              </w:rPr>
              <w:t xml:space="preserve">fait les </w:t>
            </w:r>
            <w:r w:rsidRPr="004B0B0A">
              <w:rPr>
                <w:rFonts w:ascii="Calibri" w:hAnsi="Calibri" w:cstheme="minorHAnsi"/>
                <w:lang w:val="fr-FR"/>
              </w:rPr>
              <w:t>recommand</w:t>
            </w:r>
            <w:r w:rsidR="00664447">
              <w:rPr>
                <w:rFonts w:ascii="Calibri" w:hAnsi="Calibri" w:cstheme="minorHAnsi"/>
                <w:lang w:val="fr-FR"/>
              </w:rPr>
              <w:t>ations suivantes :</w:t>
            </w:r>
            <w:r w:rsidRPr="004B0B0A">
              <w:rPr>
                <w:rFonts w:ascii="Calibri" w:hAnsi="Calibri" w:cstheme="minorHAnsi"/>
                <w:lang w:val="fr-FR"/>
              </w:rPr>
              <w:t xml:space="preserve"> </w:t>
            </w:r>
            <w:r w:rsidR="00664447">
              <w:rPr>
                <w:rFonts w:ascii="Calibri" w:hAnsi="Calibri" w:cstheme="minorHAnsi"/>
                <w:lang w:val="fr-FR"/>
              </w:rPr>
              <w:t xml:space="preserve">(i) </w:t>
            </w:r>
            <w:r w:rsidRPr="004B0B0A">
              <w:rPr>
                <w:rFonts w:ascii="Calibri" w:hAnsi="Calibri" w:cstheme="minorHAnsi"/>
                <w:lang w:val="fr-FR"/>
              </w:rPr>
              <w:t>En prélude à la mise en œuvre de</w:t>
            </w:r>
            <w:r w:rsidR="00664447">
              <w:rPr>
                <w:rFonts w:ascii="Calibri" w:hAnsi="Calibri" w:cstheme="minorHAnsi"/>
                <w:lang w:val="fr-FR"/>
              </w:rPr>
              <w:t>s</w:t>
            </w:r>
            <w:r w:rsidRPr="004B0B0A">
              <w:rPr>
                <w:rFonts w:ascii="Calibri" w:hAnsi="Calibri" w:cstheme="minorHAnsi"/>
                <w:lang w:val="fr-FR"/>
              </w:rPr>
              <w:t xml:space="preserve"> convention</w:t>
            </w:r>
            <w:r w:rsidR="00664447">
              <w:rPr>
                <w:rFonts w:ascii="Calibri" w:hAnsi="Calibri" w:cstheme="minorHAnsi"/>
                <w:lang w:val="fr-FR"/>
              </w:rPr>
              <w:t>s</w:t>
            </w:r>
            <w:r w:rsidRPr="004B0B0A">
              <w:rPr>
                <w:rFonts w:ascii="Calibri" w:hAnsi="Calibri" w:cstheme="minorHAnsi"/>
                <w:lang w:val="fr-FR"/>
              </w:rPr>
              <w:t>, procéder à une large diffusion de la loi N°2021 -064 du 14 décembre 2021 portant création de la réserve de Biosphère du Gourma ;</w:t>
            </w:r>
            <w:r w:rsidR="00664447">
              <w:rPr>
                <w:rFonts w:ascii="Calibri" w:hAnsi="Calibri" w:cstheme="minorHAnsi"/>
                <w:lang w:val="fr-FR"/>
              </w:rPr>
              <w:t xml:space="preserve"> (ii) </w:t>
            </w:r>
            <w:r w:rsidRPr="004B0B0A">
              <w:rPr>
                <w:rFonts w:ascii="Calibri" w:hAnsi="Calibri" w:cstheme="minorHAnsi"/>
                <w:lang w:val="fr-FR"/>
              </w:rPr>
              <w:t>Assurer la formation des autorités locales (chef villages, fraction, les élus l’administration et les services techniques sur la charte pastorale</w:t>
            </w:r>
            <w:r w:rsidR="00664447">
              <w:rPr>
                <w:rFonts w:ascii="Calibri" w:hAnsi="Calibri" w:cstheme="minorHAnsi"/>
                <w:lang w:val="fr-FR"/>
              </w:rPr>
              <w:t>)</w:t>
            </w:r>
            <w:r w:rsidRPr="004B0B0A">
              <w:rPr>
                <w:rFonts w:ascii="Calibri" w:hAnsi="Calibri" w:cstheme="minorHAnsi"/>
                <w:lang w:val="fr-FR"/>
              </w:rPr>
              <w:t xml:space="preserve"> ;</w:t>
            </w:r>
            <w:r w:rsidR="00664447">
              <w:rPr>
                <w:rFonts w:ascii="Calibri" w:hAnsi="Calibri" w:cstheme="minorHAnsi"/>
                <w:lang w:val="fr-FR"/>
              </w:rPr>
              <w:t xml:space="preserve"> (iii) </w:t>
            </w:r>
            <w:r w:rsidRPr="004B0B0A">
              <w:rPr>
                <w:rFonts w:ascii="Calibri" w:hAnsi="Calibri" w:cstheme="minorHAnsi"/>
                <w:lang w:val="fr-FR"/>
              </w:rPr>
              <w:t>Communiquer à temps la date de signature des conventions aux participants.</w:t>
            </w:r>
          </w:p>
          <w:p w14:paraId="425F2D4B" w14:textId="77777777" w:rsidR="00845423" w:rsidRDefault="00845423" w:rsidP="00845423">
            <w:pPr>
              <w:pStyle w:val="Sansinterligne"/>
              <w:spacing w:before="120" w:after="120"/>
              <w:contextualSpacing/>
              <w:jc w:val="both"/>
              <w:rPr>
                <w:rFonts w:ascii="Arial Narrow" w:eastAsia="Times New Roman" w:hAnsi="Arial Narrow" w:cs="Times New Roman"/>
                <w:b/>
                <w:bCs/>
                <w:sz w:val="20"/>
                <w:szCs w:val="20"/>
                <w:shd w:val="clear" w:color="auto" w:fill="A8D08D"/>
                <w:lang w:val="fr-FR" w:eastAsia="fr-FR"/>
              </w:rPr>
            </w:pPr>
          </w:p>
          <w:p w14:paraId="6893E8BB" w14:textId="12988E19" w:rsidR="00722194" w:rsidRPr="00664447" w:rsidRDefault="00845423" w:rsidP="00C32582">
            <w:pPr>
              <w:pStyle w:val="Sub-ActivityHeading"/>
            </w:pPr>
            <w:r w:rsidRPr="00845423">
              <w:t>3.1.2.4 Élaboration des conventions locales sur la gestion des ressources naturelles</w:t>
            </w:r>
          </w:p>
          <w:p w14:paraId="56BAAD8F" w14:textId="149FB18C" w:rsidR="0087319D" w:rsidRPr="0087319D" w:rsidRDefault="0087319D" w:rsidP="0087319D">
            <w:pPr>
              <w:pStyle w:val="Sansinterligne"/>
              <w:spacing w:before="120" w:after="120"/>
              <w:contextualSpacing/>
              <w:jc w:val="both"/>
              <w:rPr>
                <w:rStyle w:val="Accentuationlgre"/>
              </w:rPr>
            </w:pPr>
            <w:r>
              <w:rPr>
                <w:rStyle w:val="Accentuationlgre"/>
              </w:rPr>
              <w:t xml:space="preserve">- </w:t>
            </w:r>
            <w:r w:rsidRPr="0087319D">
              <w:rPr>
                <w:rStyle w:val="Accentuationlgre"/>
              </w:rPr>
              <w:t>Poursuite de l’enquête sur l’identification des règles et sanctions traditionnelles de GRN</w:t>
            </w:r>
          </w:p>
          <w:p w14:paraId="746EFB98" w14:textId="4C2BB6E2" w:rsidR="00722194" w:rsidRPr="00722194" w:rsidRDefault="0087319D" w:rsidP="00845423">
            <w:pPr>
              <w:pStyle w:val="Sansinterligne"/>
              <w:spacing w:before="120" w:after="120"/>
              <w:jc w:val="both"/>
              <w:rPr>
                <w:rFonts w:cstheme="minorHAnsi"/>
                <w:lang w:val="fr-FR"/>
              </w:rPr>
            </w:pPr>
            <w:r>
              <w:rPr>
                <w:rFonts w:cstheme="minorHAnsi"/>
                <w:lang w:val="fr-FR"/>
              </w:rPr>
              <w:t xml:space="preserve">Quinze </w:t>
            </w:r>
            <w:r w:rsidR="00722194">
              <w:rPr>
                <w:rFonts w:cstheme="minorHAnsi"/>
                <w:lang w:val="fr-FR"/>
              </w:rPr>
              <w:t xml:space="preserve">15 écogardes ont été formés puis mobilisés </w:t>
            </w:r>
            <w:r>
              <w:rPr>
                <w:rFonts w:cstheme="minorHAnsi"/>
                <w:lang w:val="fr-FR"/>
              </w:rPr>
              <w:t xml:space="preserve">au mois d’avril 2022 </w:t>
            </w:r>
            <w:r w:rsidR="00722194">
              <w:rPr>
                <w:rFonts w:cstheme="minorHAnsi"/>
                <w:lang w:val="fr-FR"/>
              </w:rPr>
              <w:t>pour la</w:t>
            </w:r>
            <w:r w:rsidR="00722194" w:rsidRPr="00946204">
              <w:rPr>
                <w:rFonts w:cstheme="minorHAnsi"/>
                <w:lang w:val="fr-FR"/>
              </w:rPr>
              <w:t xml:space="preserve"> collecte des données </w:t>
            </w:r>
            <w:r w:rsidR="00722194">
              <w:rPr>
                <w:rFonts w:cstheme="minorHAnsi"/>
                <w:lang w:val="fr-FR"/>
              </w:rPr>
              <w:t>sur</w:t>
            </w:r>
            <w:r w:rsidR="00722194" w:rsidRPr="00946204">
              <w:rPr>
                <w:rFonts w:cstheme="minorHAnsi"/>
                <w:lang w:val="fr-FR"/>
              </w:rPr>
              <w:t xml:space="preserve"> </w:t>
            </w:r>
            <w:r w:rsidR="00722194">
              <w:rPr>
                <w:rFonts w:cstheme="minorHAnsi"/>
                <w:lang w:val="fr-FR"/>
              </w:rPr>
              <w:t>l</w:t>
            </w:r>
            <w:r w:rsidR="00722194" w:rsidRPr="00946204">
              <w:rPr>
                <w:rFonts w:cstheme="minorHAnsi"/>
                <w:lang w:val="fr-FR"/>
              </w:rPr>
              <w:t>es règles et sanctions traditionnelles de GRN dans les communes de Diaptodji, Dangol-Boré,</w:t>
            </w:r>
            <w:r w:rsidR="00722194">
              <w:rPr>
                <w:rFonts w:cstheme="minorHAnsi"/>
                <w:lang w:val="fr-FR"/>
              </w:rPr>
              <w:t xml:space="preserve"> </w:t>
            </w:r>
            <w:r w:rsidR="00722194" w:rsidRPr="00946204">
              <w:rPr>
                <w:rFonts w:cstheme="minorHAnsi"/>
                <w:lang w:val="fr-FR"/>
              </w:rPr>
              <w:t>Débéré, Dallah, Kéréna, Pétaka et Haribomo</w:t>
            </w:r>
            <w:r>
              <w:rPr>
                <w:rFonts w:cstheme="minorHAnsi"/>
                <w:lang w:val="fr-FR"/>
              </w:rPr>
              <w:t xml:space="preserve"> pour servir de base à l’élaboration des conventions de GRN. </w:t>
            </w:r>
            <w:r w:rsidR="00722194">
              <w:rPr>
                <w:rFonts w:cstheme="minorHAnsi"/>
                <w:lang w:val="fr-FR"/>
              </w:rPr>
              <w:t xml:space="preserve">Cette enquête complète une enquête similaire déjà réalisée dans les communes de Bambara-Maoudé, Gandamia, Haïré, Hombori, Inadiatafane, Korarou, Gossi et Ouinerden, et permet de </w:t>
            </w:r>
            <w:r w:rsidR="00722194" w:rsidRPr="00946204">
              <w:rPr>
                <w:rFonts w:cstheme="minorHAnsi"/>
                <w:lang w:val="fr-FR"/>
              </w:rPr>
              <w:t>disposer des données sur les règles et sanctions traditionnelles sur l'ensemble des communes</w:t>
            </w:r>
            <w:r w:rsidR="00722194">
              <w:rPr>
                <w:rFonts w:cstheme="minorHAnsi"/>
                <w:lang w:val="fr-FR"/>
              </w:rPr>
              <w:t xml:space="preserve"> de la zone d’intervention</w:t>
            </w:r>
            <w:r>
              <w:rPr>
                <w:rFonts w:cstheme="minorHAnsi"/>
                <w:lang w:val="fr-FR"/>
              </w:rPr>
              <w:t>.</w:t>
            </w:r>
          </w:p>
          <w:p w14:paraId="2B5F57F6" w14:textId="61688C5B" w:rsidR="00845423" w:rsidRPr="000A11E6" w:rsidRDefault="0087319D" w:rsidP="005D35C9">
            <w:pPr>
              <w:pStyle w:val="Sansinterligne"/>
              <w:spacing w:before="120" w:after="120"/>
              <w:contextualSpacing/>
              <w:jc w:val="both"/>
              <w:rPr>
                <w:rStyle w:val="Accentuationlgre"/>
              </w:rPr>
            </w:pPr>
            <w:r w:rsidRPr="000A11E6">
              <w:rPr>
                <w:rStyle w:val="Accentuationlgre"/>
              </w:rPr>
              <w:t xml:space="preserve">- </w:t>
            </w:r>
            <w:r w:rsidR="00845423" w:rsidRPr="000A11E6">
              <w:rPr>
                <w:rStyle w:val="Accentuationlgre"/>
              </w:rPr>
              <w:t>Atelier de partage et de signature des conventions</w:t>
            </w:r>
          </w:p>
          <w:p w14:paraId="49CE22DE" w14:textId="29495114" w:rsidR="00845423" w:rsidRPr="002910FC" w:rsidRDefault="00845423" w:rsidP="002910FC">
            <w:pPr>
              <w:pStyle w:val="Sansinterligne"/>
              <w:spacing w:before="120"/>
              <w:contextualSpacing/>
              <w:jc w:val="both"/>
              <w:rPr>
                <w:rFonts w:cstheme="minorHAnsi"/>
                <w:lang w:val="fr-FR"/>
              </w:rPr>
            </w:pPr>
            <w:r w:rsidRPr="00C45744">
              <w:rPr>
                <w:rFonts w:ascii="Calibri" w:hAnsi="Calibri" w:cstheme="minorHAnsi"/>
                <w:lang w:val="fr-FR"/>
              </w:rPr>
              <w:t xml:space="preserve">L’atelier de partage </w:t>
            </w:r>
            <w:r w:rsidR="0087319D">
              <w:rPr>
                <w:rFonts w:ascii="Calibri" w:hAnsi="Calibri" w:cstheme="minorHAnsi"/>
                <w:lang w:val="fr-FR"/>
              </w:rPr>
              <w:t>et</w:t>
            </w:r>
            <w:r w:rsidRPr="00C45744">
              <w:rPr>
                <w:rFonts w:ascii="Calibri" w:hAnsi="Calibri" w:cstheme="minorHAnsi"/>
                <w:lang w:val="fr-FR"/>
              </w:rPr>
              <w:t xml:space="preserve"> de signature des conventions a eu lieu </w:t>
            </w:r>
            <w:r w:rsidR="0087319D">
              <w:rPr>
                <w:rFonts w:ascii="Calibri" w:hAnsi="Calibri" w:cstheme="minorHAnsi"/>
                <w:lang w:val="fr-FR"/>
              </w:rPr>
              <w:t>les</w:t>
            </w:r>
            <w:r w:rsidRPr="00C45744">
              <w:rPr>
                <w:rFonts w:ascii="Calibri" w:hAnsi="Calibri" w:cstheme="minorHAnsi"/>
                <w:lang w:val="fr-FR"/>
              </w:rPr>
              <w:t xml:space="preserve"> 22</w:t>
            </w:r>
            <w:r w:rsidR="0087319D">
              <w:rPr>
                <w:rFonts w:ascii="Calibri" w:hAnsi="Calibri" w:cstheme="minorHAnsi"/>
                <w:lang w:val="fr-FR"/>
              </w:rPr>
              <w:t>-</w:t>
            </w:r>
            <w:r w:rsidRPr="00C45744">
              <w:rPr>
                <w:rFonts w:ascii="Calibri" w:hAnsi="Calibri" w:cstheme="minorHAnsi"/>
                <w:lang w:val="fr-FR"/>
              </w:rPr>
              <w:t xml:space="preserve">23 août dans la salle de conférence du Conseil Régional de Mopti / Sévaré en présence de 39 participants, les copies des conventions ayant été partagées avec les parties signataires une semaine </w:t>
            </w:r>
            <w:r w:rsidR="0087319D">
              <w:rPr>
                <w:rFonts w:ascii="Calibri" w:hAnsi="Calibri" w:cstheme="minorHAnsi"/>
                <w:lang w:val="fr-FR"/>
              </w:rPr>
              <w:t>au préalable</w:t>
            </w:r>
            <w:r w:rsidRPr="00C45744">
              <w:rPr>
                <w:rFonts w:ascii="Calibri" w:hAnsi="Calibri" w:cstheme="minorHAnsi"/>
                <w:lang w:val="fr-FR"/>
              </w:rPr>
              <w:t xml:space="preserve">. </w:t>
            </w:r>
            <w:r>
              <w:rPr>
                <w:rFonts w:cstheme="minorHAnsi"/>
                <w:lang w:val="fr-FR"/>
              </w:rPr>
              <w:t xml:space="preserve">Douze </w:t>
            </w:r>
            <w:r w:rsidR="0087319D">
              <w:rPr>
                <w:rFonts w:cstheme="minorHAnsi"/>
                <w:lang w:val="fr-FR"/>
              </w:rPr>
              <w:t xml:space="preserve">(12) </w:t>
            </w:r>
            <w:r>
              <w:rPr>
                <w:rFonts w:cstheme="minorHAnsi"/>
                <w:lang w:val="fr-FR"/>
              </w:rPr>
              <w:t>nouvelles</w:t>
            </w:r>
            <w:r w:rsidRPr="003D1F5B">
              <w:rPr>
                <w:rFonts w:cstheme="minorHAnsi"/>
                <w:lang w:val="fr-FR"/>
              </w:rPr>
              <w:t xml:space="preserve"> conventions ont été signées</w:t>
            </w:r>
            <w:r w:rsidR="0087319D">
              <w:rPr>
                <w:rFonts w:cstheme="minorHAnsi"/>
                <w:lang w:val="fr-FR"/>
              </w:rPr>
              <w:t xml:space="preserve">, à savoir : </w:t>
            </w:r>
            <w:r w:rsidRPr="003D1F5B">
              <w:rPr>
                <w:rFonts w:cstheme="minorHAnsi"/>
                <w:lang w:val="fr-FR"/>
              </w:rPr>
              <w:t xml:space="preserve"> </w:t>
            </w:r>
            <w:r w:rsidR="0087319D">
              <w:rPr>
                <w:rFonts w:cstheme="minorHAnsi"/>
                <w:lang w:val="fr-FR"/>
              </w:rPr>
              <w:t>(i) 5</w:t>
            </w:r>
            <w:r w:rsidRPr="0087319D">
              <w:rPr>
                <w:rFonts w:cstheme="minorHAnsi"/>
                <w:lang w:val="fr-FR"/>
              </w:rPr>
              <w:t xml:space="preserve"> conventions communales de GRN impliquant les communes de Gossi, Ouinerden, Haribomo, Petaga et Hombori</w:t>
            </w:r>
            <w:r w:rsidR="0087319D">
              <w:rPr>
                <w:rFonts w:cstheme="minorHAnsi"/>
                <w:lang w:val="fr-FR"/>
              </w:rPr>
              <w:t> ; (ii) 2</w:t>
            </w:r>
            <w:r w:rsidRPr="0087319D">
              <w:rPr>
                <w:rFonts w:cstheme="minorHAnsi"/>
                <w:lang w:val="fr-FR"/>
              </w:rPr>
              <w:t xml:space="preserve"> conventions intercommunales de GRN impliquant les communes de Hombori, Gossi et Ouinerden </w:t>
            </w:r>
            <w:r w:rsidR="002910FC">
              <w:rPr>
                <w:rFonts w:cstheme="minorHAnsi"/>
                <w:lang w:val="fr-FR"/>
              </w:rPr>
              <w:t>d’un côté,</w:t>
            </w:r>
            <w:r w:rsidRPr="0087319D">
              <w:rPr>
                <w:rFonts w:cstheme="minorHAnsi"/>
                <w:lang w:val="fr-FR"/>
              </w:rPr>
              <w:t xml:space="preserve"> Inadiatafane et Bambara-Maoudé</w:t>
            </w:r>
            <w:r w:rsidR="002910FC">
              <w:rPr>
                <w:rFonts w:cstheme="minorHAnsi"/>
                <w:lang w:val="fr-FR"/>
              </w:rPr>
              <w:t xml:space="preserve"> de l’autre ; (iii) 4 </w:t>
            </w:r>
            <w:r w:rsidRPr="002910FC">
              <w:rPr>
                <w:rFonts w:cstheme="minorHAnsi"/>
                <w:lang w:val="fr-FR"/>
              </w:rPr>
              <w:t>conventions communales relatives à la Réserve de Biosphère du Gourma impliquant les communes de Hombori, Gossi, Ouinerden et Haribomo</w:t>
            </w:r>
            <w:r w:rsidR="002910FC">
              <w:rPr>
                <w:rFonts w:cstheme="minorHAnsi"/>
                <w:lang w:val="fr-FR"/>
              </w:rPr>
              <w:t xml:space="preserve"> ; 1 </w:t>
            </w:r>
            <w:r w:rsidRPr="002910FC">
              <w:rPr>
                <w:rFonts w:cstheme="minorHAnsi"/>
                <w:lang w:val="fr-FR"/>
              </w:rPr>
              <w:t>convention intercommunale relative à la Réserve de Biosphère du Gourma impliquant les communes de Bambara-Maoudé et Inadiatafane.</w:t>
            </w:r>
          </w:p>
          <w:p w14:paraId="3512FB52" w14:textId="6B0D3843" w:rsidR="00845423" w:rsidRPr="004B0836" w:rsidRDefault="002910FC" w:rsidP="00845423">
            <w:pPr>
              <w:spacing w:before="120" w:after="0" w:line="240" w:lineRule="auto"/>
              <w:contextualSpacing/>
              <w:jc w:val="both"/>
              <w:rPr>
                <w:rFonts w:cstheme="minorHAnsi"/>
                <w:lang w:val="fr-FR"/>
              </w:rPr>
            </w:pPr>
            <w:r>
              <w:rPr>
                <w:rFonts w:cstheme="minorHAnsi"/>
                <w:lang w:val="fr-FR"/>
              </w:rPr>
              <w:t>Ces 12 conventions</w:t>
            </w:r>
            <w:r w:rsidR="00845423">
              <w:rPr>
                <w:rFonts w:cstheme="minorHAnsi"/>
                <w:lang w:val="fr-FR"/>
              </w:rPr>
              <w:t xml:space="preserve"> viennent compléter les 10 conventions communales + 1 convention intercommunale de GRN signées en 2020 dans le cadre du projet UE, ce qui porte à (23) le nombre total de conventions </w:t>
            </w:r>
            <w:r>
              <w:rPr>
                <w:rFonts w:cstheme="minorHAnsi"/>
                <w:lang w:val="fr-FR"/>
              </w:rPr>
              <w:t>impliquant</w:t>
            </w:r>
            <w:r w:rsidR="00845423" w:rsidRPr="004B0836">
              <w:rPr>
                <w:rFonts w:cstheme="minorHAnsi"/>
                <w:lang w:val="fr-FR"/>
              </w:rPr>
              <w:t xml:space="preserve"> l’ensemble des seize (16) communes d’intervention du projet</w:t>
            </w:r>
            <w:r w:rsidR="00845423">
              <w:rPr>
                <w:rFonts w:cstheme="minorHAnsi"/>
                <w:lang w:val="fr-FR"/>
              </w:rPr>
              <w:t xml:space="preserve"> soit</w:t>
            </w:r>
            <w:r>
              <w:rPr>
                <w:rFonts w:cstheme="minorHAnsi"/>
                <w:lang w:val="fr-FR"/>
              </w:rPr>
              <w:t xml:space="preserve"> 15 </w:t>
            </w:r>
            <w:r w:rsidR="00845423">
              <w:rPr>
                <w:rFonts w:cstheme="minorHAnsi"/>
                <w:lang w:val="fr-FR"/>
              </w:rPr>
              <w:t>c</w:t>
            </w:r>
            <w:r w:rsidR="00845423" w:rsidRPr="004B0836">
              <w:rPr>
                <w:rFonts w:cstheme="minorHAnsi"/>
                <w:lang w:val="fr-FR"/>
              </w:rPr>
              <w:t xml:space="preserve">onventions </w:t>
            </w:r>
            <w:r w:rsidR="00845423">
              <w:rPr>
                <w:rFonts w:cstheme="minorHAnsi"/>
                <w:lang w:val="fr-FR"/>
              </w:rPr>
              <w:t>c</w:t>
            </w:r>
            <w:r w:rsidR="00845423" w:rsidRPr="004B0836">
              <w:rPr>
                <w:rFonts w:cstheme="minorHAnsi"/>
                <w:lang w:val="fr-FR"/>
              </w:rPr>
              <w:t xml:space="preserve">ommunales </w:t>
            </w:r>
            <w:r>
              <w:rPr>
                <w:rFonts w:cstheme="minorHAnsi"/>
                <w:lang w:val="fr-FR"/>
              </w:rPr>
              <w:t xml:space="preserve">et 3 conventions intercommunales </w:t>
            </w:r>
            <w:r w:rsidR="00845423" w:rsidRPr="004B0836">
              <w:rPr>
                <w:rFonts w:cstheme="minorHAnsi"/>
                <w:lang w:val="fr-FR"/>
              </w:rPr>
              <w:t>de GRN</w:t>
            </w:r>
            <w:r>
              <w:rPr>
                <w:rFonts w:cstheme="minorHAnsi"/>
                <w:lang w:val="fr-FR"/>
              </w:rPr>
              <w:t xml:space="preserve"> ; 4 </w:t>
            </w:r>
            <w:r w:rsidR="00845423">
              <w:rPr>
                <w:rFonts w:cstheme="minorHAnsi"/>
                <w:lang w:val="fr-FR"/>
              </w:rPr>
              <w:t>c</w:t>
            </w:r>
            <w:r w:rsidR="00845423" w:rsidRPr="004B0836">
              <w:rPr>
                <w:rFonts w:cstheme="minorHAnsi"/>
                <w:lang w:val="fr-FR"/>
              </w:rPr>
              <w:t>onventions communales</w:t>
            </w:r>
            <w:r>
              <w:rPr>
                <w:rFonts w:cstheme="minorHAnsi"/>
                <w:lang w:val="fr-FR"/>
              </w:rPr>
              <w:t xml:space="preserve"> et 1 conventions intercommunale</w:t>
            </w:r>
            <w:r w:rsidR="00845423" w:rsidRPr="004B0836">
              <w:rPr>
                <w:rFonts w:cstheme="minorHAnsi"/>
                <w:lang w:val="fr-FR"/>
              </w:rPr>
              <w:t xml:space="preserve"> relatives à la Réserve de Biosphère du Gourma</w:t>
            </w:r>
            <w:r>
              <w:rPr>
                <w:rFonts w:cstheme="minorHAnsi"/>
                <w:lang w:val="fr-FR"/>
              </w:rPr>
              <w:t>.</w:t>
            </w:r>
            <w:r w:rsidR="00845423" w:rsidRPr="004B0836">
              <w:rPr>
                <w:rFonts w:cstheme="minorHAnsi"/>
                <w:lang w:val="fr-FR"/>
              </w:rPr>
              <w:t xml:space="preserve"> </w:t>
            </w:r>
          </w:p>
          <w:p w14:paraId="04EDB70C" w14:textId="77777777" w:rsidR="00845423" w:rsidRPr="00BF2A75" w:rsidRDefault="00845423" w:rsidP="00CE0828">
            <w:pPr>
              <w:pStyle w:val="Sub-ActivityHeading"/>
            </w:pPr>
            <w:r w:rsidRPr="00BF2A75">
              <w:t>3.1.2.3 Mise en œuvre des conventions locales respectant et renforçant le zonage et l’application de la législation relative à la zone centrale de la réserve de biosphère du Gourma</w:t>
            </w:r>
          </w:p>
          <w:p w14:paraId="2E93F631" w14:textId="77777777" w:rsidR="00845423" w:rsidRPr="000A11E6" w:rsidRDefault="00845423" w:rsidP="00845423">
            <w:pPr>
              <w:pStyle w:val="Sansinterligne"/>
              <w:spacing w:before="120" w:after="120"/>
              <w:contextualSpacing/>
              <w:jc w:val="both"/>
              <w:rPr>
                <w:rStyle w:val="Accentuationlgre"/>
              </w:rPr>
            </w:pPr>
            <w:r w:rsidRPr="000A11E6">
              <w:rPr>
                <w:rStyle w:val="Accentuationlgre"/>
              </w:rPr>
              <w:t xml:space="preserve">- Organisation de la diffusion du contenu des conventions via les radios locales </w:t>
            </w:r>
          </w:p>
          <w:p w14:paraId="7D587D6E" w14:textId="32CF8BAF" w:rsidR="00845423" w:rsidRPr="0078514B" w:rsidRDefault="00845423" w:rsidP="00845423">
            <w:pPr>
              <w:pStyle w:val="Sansinterligne"/>
              <w:spacing w:before="120" w:after="120"/>
              <w:jc w:val="both"/>
              <w:rPr>
                <w:rFonts w:cstheme="minorHAnsi"/>
                <w:lang w:val="fr-FR"/>
              </w:rPr>
            </w:pPr>
            <w:r w:rsidRPr="00AA6332">
              <w:rPr>
                <w:rFonts w:cstheme="minorHAnsi"/>
                <w:lang w:val="fr-FR"/>
              </w:rPr>
              <w:t>Cette activité a pour but de sensibiliser et d’informer les populations des communes situées dans et autour des zones centrales de Banzena et Talawat et les populations des communes limitrophes sur le contenu des conventions nouvellement signées, la diffusion par radio en langues locales (Fulfulde, Tamasheq, Songhaï) permettant de cibler le plus grand nombre.</w:t>
            </w:r>
            <w:r w:rsidR="00356208">
              <w:rPr>
                <w:rFonts w:cstheme="minorHAnsi"/>
                <w:lang w:val="fr-FR"/>
              </w:rPr>
              <w:t xml:space="preserve"> Sept (7)</w:t>
            </w:r>
            <w:r w:rsidR="00356208" w:rsidRPr="00356208">
              <w:rPr>
                <w:rFonts w:cstheme="minorHAnsi"/>
                <w:lang w:val="fr-FR"/>
              </w:rPr>
              <w:t xml:space="preserve"> radio locales </w:t>
            </w:r>
            <w:r w:rsidR="00356208">
              <w:rPr>
                <w:rFonts w:cstheme="minorHAnsi"/>
                <w:lang w:val="fr-FR"/>
              </w:rPr>
              <w:t xml:space="preserve">ont été ciblées </w:t>
            </w:r>
            <w:r w:rsidR="00CE0828">
              <w:rPr>
                <w:rFonts w:cstheme="minorHAnsi"/>
                <w:lang w:val="fr-FR"/>
              </w:rPr>
              <w:t xml:space="preserve">à cet effet </w:t>
            </w:r>
            <w:r w:rsidR="00356208" w:rsidRPr="00356208">
              <w:rPr>
                <w:rFonts w:cstheme="minorHAnsi"/>
                <w:lang w:val="fr-FR"/>
              </w:rPr>
              <w:t>d</w:t>
            </w:r>
            <w:r w:rsidR="00356208">
              <w:rPr>
                <w:rFonts w:cstheme="minorHAnsi"/>
                <w:lang w:val="fr-FR"/>
              </w:rPr>
              <w:t>ans les communes de</w:t>
            </w:r>
            <w:r w:rsidR="00356208" w:rsidRPr="00356208">
              <w:rPr>
                <w:rFonts w:cstheme="minorHAnsi"/>
                <w:lang w:val="fr-FR"/>
              </w:rPr>
              <w:t xml:space="preserve"> Diaptodji, </w:t>
            </w:r>
            <w:proofErr w:type="gramStart"/>
            <w:r w:rsidR="00356208" w:rsidRPr="00356208">
              <w:rPr>
                <w:rFonts w:cstheme="minorHAnsi"/>
                <w:lang w:val="fr-FR"/>
              </w:rPr>
              <w:t>Hombori  Gossi</w:t>
            </w:r>
            <w:proofErr w:type="gramEnd"/>
            <w:r w:rsidR="00356208" w:rsidRPr="00356208">
              <w:rPr>
                <w:rFonts w:cstheme="minorHAnsi"/>
                <w:lang w:val="fr-FR"/>
              </w:rPr>
              <w:t>, Dangol-Boré, Dalla, Hairé et Douentza</w:t>
            </w:r>
            <w:r w:rsidR="00356208">
              <w:rPr>
                <w:rFonts w:cstheme="minorHAnsi"/>
                <w:lang w:val="fr-FR"/>
              </w:rPr>
              <w:t xml:space="preserve">, et la diffusion a commencé sur deux (2) d’entre elles </w:t>
            </w:r>
            <w:r w:rsidR="00356208" w:rsidRPr="00AA6332">
              <w:rPr>
                <w:rFonts w:cstheme="minorHAnsi"/>
                <w:lang w:val="fr-FR"/>
              </w:rPr>
              <w:t>('La VOIX DU GOURMA', commune de Gossi, et Radio Daande Duwansa, commune de Douentza).</w:t>
            </w:r>
          </w:p>
          <w:p w14:paraId="46D0D7AD" w14:textId="77777777" w:rsidR="00845423" w:rsidRPr="000A11E6" w:rsidRDefault="00845423" w:rsidP="00845423">
            <w:pPr>
              <w:pStyle w:val="Sansinterligne"/>
              <w:spacing w:before="120" w:after="120"/>
              <w:contextualSpacing/>
              <w:jc w:val="both"/>
              <w:rPr>
                <w:rStyle w:val="Accentuationlgre"/>
              </w:rPr>
            </w:pPr>
            <w:r w:rsidRPr="000A11E6">
              <w:rPr>
                <w:rStyle w:val="Accentuationlgre"/>
              </w:rPr>
              <w:t>- Mise en place des structures chargées de la mise en œuvre des conventions</w:t>
            </w:r>
          </w:p>
          <w:p w14:paraId="54EEE548" w14:textId="7DBD76AA" w:rsidR="00845423" w:rsidRDefault="00845423" w:rsidP="00845423">
            <w:pPr>
              <w:pStyle w:val="Sansinterligne"/>
              <w:spacing w:before="120" w:after="120"/>
              <w:jc w:val="both"/>
              <w:rPr>
                <w:rFonts w:cstheme="minorHAnsi"/>
                <w:lang w:val="fr-FR"/>
              </w:rPr>
            </w:pPr>
            <w:r>
              <w:rPr>
                <w:rFonts w:cstheme="minorHAnsi"/>
                <w:lang w:val="fr-FR"/>
              </w:rPr>
              <w:t>118 structures ont été mises en place pour assurer le suivi et</w:t>
            </w:r>
            <w:r w:rsidRPr="0078514B">
              <w:rPr>
                <w:rFonts w:cstheme="minorHAnsi"/>
                <w:lang w:val="fr-FR"/>
              </w:rPr>
              <w:t xml:space="preserve"> la mise en œuvre des conventions</w:t>
            </w:r>
            <w:r>
              <w:rPr>
                <w:rFonts w:cstheme="minorHAnsi"/>
                <w:lang w:val="fr-FR"/>
              </w:rPr>
              <w:t xml:space="preserve">. Elles comprennent </w:t>
            </w:r>
            <w:r w:rsidRPr="0078514B">
              <w:rPr>
                <w:rFonts w:cstheme="minorHAnsi"/>
                <w:lang w:val="fr-FR"/>
              </w:rPr>
              <w:t>2 commissions de suivi</w:t>
            </w:r>
            <w:r>
              <w:rPr>
                <w:rFonts w:cstheme="minorHAnsi"/>
                <w:lang w:val="fr-FR"/>
              </w:rPr>
              <w:t>-</w:t>
            </w:r>
            <w:r w:rsidRPr="0078514B">
              <w:rPr>
                <w:rFonts w:cstheme="minorHAnsi"/>
                <w:lang w:val="fr-FR"/>
              </w:rPr>
              <w:t xml:space="preserve">évaluation </w:t>
            </w:r>
            <w:r>
              <w:rPr>
                <w:rFonts w:cstheme="minorHAnsi"/>
                <w:lang w:val="fr-FR"/>
              </w:rPr>
              <w:t xml:space="preserve">au niveau cercle – Douentza et Gourma-Rharous - </w:t>
            </w:r>
            <w:r w:rsidRPr="0078514B">
              <w:rPr>
                <w:rFonts w:cstheme="minorHAnsi"/>
                <w:lang w:val="fr-FR"/>
              </w:rPr>
              <w:t>(soit 1/ cercle)</w:t>
            </w:r>
            <w:r>
              <w:rPr>
                <w:rFonts w:cstheme="minorHAnsi"/>
                <w:lang w:val="fr-FR"/>
              </w:rPr>
              <w:t>, regroupant 23 personnes,</w:t>
            </w:r>
            <w:r w:rsidRPr="0078514B">
              <w:rPr>
                <w:rFonts w:cstheme="minorHAnsi"/>
                <w:lang w:val="fr-FR"/>
              </w:rPr>
              <w:t xml:space="preserve"> et </w:t>
            </w:r>
            <w:r>
              <w:rPr>
                <w:rFonts w:cstheme="minorHAnsi"/>
                <w:lang w:val="fr-FR"/>
              </w:rPr>
              <w:t xml:space="preserve">116 </w:t>
            </w:r>
            <w:r w:rsidRPr="0078514B">
              <w:rPr>
                <w:rFonts w:cstheme="minorHAnsi"/>
                <w:lang w:val="fr-FR"/>
              </w:rPr>
              <w:t xml:space="preserve">comités de surveillance </w:t>
            </w:r>
            <w:r>
              <w:rPr>
                <w:rFonts w:cstheme="minorHAnsi"/>
                <w:lang w:val="fr-FR"/>
              </w:rPr>
              <w:t xml:space="preserve">au niveau village, regroupant 1 508 personnes </w:t>
            </w:r>
            <w:r w:rsidR="00CE0828">
              <w:rPr>
                <w:rFonts w:cstheme="minorHAnsi"/>
                <w:lang w:val="fr-FR"/>
              </w:rPr>
              <w:t xml:space="preserve">avec une moyenne de </w:t>
            </w:r>
            <w:r>
              <w:rPr>
                <w:rFonts w:cstheme="minorHAnsi"/>
                <w:lang w:val="fr-FR"/>
              </w:rPr>
              <w:t xml:space="preserve">4 </w:t>
            </w:r>
            <w:r w:rsidR="00CE0828">
              <w:rPr>
                <w:rFonts w:cstheme="minorHAnsi"/>
                <w:lang w:val="fr-FR"/>
              </w:rPr>
              <w:t>femmes par comité.</w:t>
            </w:r>
            <w:r>
              <w:rPr>
                <w:rFonts w:cstheme="minorHAnsi"/>
                <w:lang w:val="fr-FR"/>
              </w:rPr>
              <w:t xml:space="preserve"> </w:t>
            </w:r>
          </w:p>
          <w:p w14:paraId="6BDEE866" w14:textId="77777777" w:rsidR="00845423" w:rsidRPr="00CE0828" w:rsidRDefault="00845423" w:rsidP="00CE0828">
            <w:pPr>
              <w:pStyle w:val="Sansinterligne"/>
              <w:spacing w:before="120" w:after="120"/>
              <w:contextualSpacing/>
              <w:jc w:val="both"/>
              <w:rPr>
                <w:rStyle w:val="Accentuationlgre"/>
              </w:rPr>
            </w:pPr>
            <w:r w:rsidRPr="00CE0828">
              <w:rPr>
                <w:rStyle w:val="Accentuationlgre"/>
              </w:rPr>
              <w:t>- Organisation de sessions de formation des structures chargées de la mise en œuvre des conventions GRN</w:t>
            </w:r>
          </w:p>
          <w:p w14:paraId="4104240C" w14:textId="6C841805" w:rsidR="002B3658" w:rsidRPr="00CE0828" w:rsidRDefault="00CE0828" w:rsidP="00CE0828">
            <w:pPr>
              <w:pStyle w:val="Sansinterligne"/>
              <w:spacing w:before="120" w:after="120"/>
              <w:rPr>
                <w:rFonts w:cstheme="minorHAnsi"/>
                <w:i/>
                <w:iCs/>
                <w:lang w:val="fr-FR"/>
              </w:rPr>
            </w:pPr>
            <w:r>
              <w:rPr>
                <w:rFonts w:cstheme="minorHAnsi"/>
                <w:lang w:val="fr-FR"/>
              </w:rPr>
              <w:t>Quatre (</w:t>
            </w:r>
            <w:r w:rsidR="00845423">
              <w:rPr>
                <w:rFonts w:cstheme="minorHAnsi"/>
                <w:lang w:val="fr-FR"/>
              </w:rPr>
              <w:t>4</w:t>
            </w:r>
            <w:r>
              <w:rPr>
                <w:rFonts w:cstheme="minorHAnsi"/>
                <w:lang w:val="fr-FR"/>
              </w:rPr>
              <w:t>)</w:t>
            </w:r>
            <w:r w:rsidR="00845423">
              <w:rPr>
                <w:rFonts w:cstheme="minorHAnsi"/>
                <w:lang w:val="fr-FR"/>
              </w:rPr>
              <w:t xml:space="preserve"> sessions de formation de 2 jours chacune </w:t>
            </w:r>
            <w:proofErr w:type="gramStart"/>
            <w:r w:rsidR="00845423">
              <w:rPr>
                <w:rFonts w:cstheme="minorHAnsi"/>
                <w:lang w:val="fr-FR"/>
              </w:rPr>
              <w:t>ont</w:t>
            </w:r>
            <w:proofErr w:type="gramEnd"/>
            <w:r w:rsidR="00845423">
              <w:rPr>
                <w:rFonts w:cstheme="minorHAnsi"/>
                <w:lang w:val="fr-FR"/>
              </w:rPr>
              <w:t xml:space="preserve"> été organisées à Douentza au profit des structures des communes d’Inadiatafane (2 sessions les 27-28/11), Pétaka (1-2/12) et Hombori (3-4/12) </w:t>
            </w:r>
            <w:r w:rsidR="00845423" w:rsidRPr="0078514B">
              <w:rPr>
                <w:rFonts w:cstheme="minorHAnsi"/>
                <w:lang w:val="fr-FR"/>
              </w:rPr>
              <w:t>sur les thèmes suivants : (i) rôles et responsabilités, (ii) transfert des compétences, (iii) conflits homme-éléphant, prévention et gestion des conflits au sein et entre communautés liés à l’exploitation/utilisation des ressources naturelles</w:t>
            </w:r>
            <w:r w:rsidR="00845423">
              <w:rPr>
                <w:rFonts w:cstheme="minorHAnsi"/>
                <w:lang w:val="fr-FR"/>
              </w:rPr>
              <w:t xml:space="preserve">. Elles ont regroupé chacune 71 (51H, 20F), 72 (48H, 24F), 65 (45H, 20F) et 91 (63H, 28F) participants. </w:t>
            </w:r>
            <w:r>
              <w:rPr>
                <w:rFonts w:cstheme="minorHAnsi"/>
                <w:lang w:val="fr-FR"/>
              </w:rPr>
              <w:t>La formation des structures restantes est en cours.</w:t>
            </w:r>
          </w:p>
          <w:p w14:paraId="17DEED77" w14:textId="77777777" w:rsidR="00CE0828" w:rsidRDefault="00CE0828" w:rsidP="00166AE1">
            <w:pPr>
              <w:pStyle w:val="Sansinterligne"/>
              <w:spacing w:before="120" w:after="120"/>
              <w:jc w:val="both"/>
              <w:rPr>
                <w:rFonts w:cstheme="minorHAnsi"/>
                <w:b/>
                <w:bCs/>
                <w:lang w:val="fr-FR"/>
              </w:rPr>
            </w:pPr>
          </w:p>
          <w:p w14:paraId="75024F4C" w14:textId="229A6344" w:rsidR="002B3658" w:rsidRDefault="002B3658" w:rsidP="00C32582">
            <w:pPr>
              <w:pStyle w:val="Rsultat"/>
            </w:pPr>
            <w:r w:rsidRPr="00507075">
              <w:t>Résultat 3.2. De nouveaux systèmes de génération de revenus sont mis au point et utilisés dans les communautés cibles</w:t>
            </w:r>
          </w:p>
          <w:p w14:paraId="788F0CD3" w14:textId="2E32FC35" w:rsidR="004B0836" w:rsidRPr="004B0836" w:rsidRDefault="002B3658" w:rsidP="00CC79B0">
            <w:pPr>
              <w:pStyle w:val="Activity"/>
            </w:pPr>
            <w:r w:rsidRPr="002B3658">
              <w:t>Activité 3.2.1 Doter en subventions de micro-crédits du PNUD des communautés locales sélectionnées pour des projets pilotes de GCRN conformément aux plans communautaires de gestion des ressources naturelles</w:t>
            </w:r>
          </w:p>
          <w:p w14:paraId="3E33DD93" w14:textId="489DFDAC" w:rsidR="002B3658" w:rsidRPr="002B3658" w:rsidRDefault="002B3658" w:rsidP="00CE0828">
            <w:pPr>
              <w:pStyle w:val="Sub-ActivityHeading"/>
            </w:pPr>
            <w:r w:rsidRPr="00CE0828">
              <w:t>3.2.1.1 Appui technique et financier à la réalisation de pare-feu</w:t>
            </w:r>
          </w:p>
          <w:p w14:paraId="4D43F9BA" w14:textId="61B4B00D" w:rsidR="00331DFA" w:rsidRPr="00CE0828" w:rsidRDefault="00722194" w:rsidP="000A11E6">
            <w:pPr>
              <w:suppressAutoHyphens/>
              <w:spacing w:after="120" w:line="240" w:lineRule="auto"/>
              <w:jc w:val="both"/>
              <w:rPr>
                <w:rFonts w:asciiTheme="minorHAnsi" w:eastAsia="Times New Roman" w:hAnsiTheme="minorHAnsi" w:cstheme="minorHAnsi"/>
                <w:lang w:val="fr-FR" w:eastAsia="fr-FR"/>
              </w:rPr>
            </w:pPr>
            <w:r w:rsidRPr="00507075">
              <w:rPr>
                <w:rFonts w:asciiTheme="minorHAnsi" w:eastAsia="Times New Roman" w:hAnsiTheme="minorHAnsi" w:cstheme="minorHAnsi"/>
                <w:lang w:val="fr-FR" w:eastAsia="fr-FR"/>
              </w:rPr>
              <w:t xml:space="preserve">Le projet a apporté un appui technique et financier aux communautés organisées et associations officielles des villages, campements, hameaux et sites de fractions des communes situés autour des zones centrales de la Réserve et dans leur périphérie pour la réalisation des pare feu de protection des ressources naturelles et pastorales. Ces campagnes de pare-feu ont mobilisé 787 </w:t>
            </w:r>
            <w:proofErr w:type="gramStart"/>
            <w:r w:rsidRPr="00507075">
              <w:rPr>
                <w:rFonts w:asciiTheme="minorHAnsi" w:eastAsia="Times New Roman" w:hAnsiTheme="minorHAnsi" w:cstheme="minorHAnsi"/>
                <w:lang w:val="fr-FR" w:eastAsia="fr-FR"/>
              </w:rPr>
              <w:t xml:space="preserve">jeunes  </w:t>
            </w:r>
            <w:r w:rsidR="00CE0828">
              <w:rPr>
                <w:rFonts w:asciiTheme="minorHAnsi" w:eastAsia="Times New Roman" w:hAnsiTheme="minorHAnsi" w:cstheme="minorHAnsi"/>
                <w:lang w:val="fr-FR" w:eastAsia="fr-FR"/>
              </w:rPr>
              <w:t>(</w:t>
            </w:r>
            <w:proofErr w:type="gramEnd"/>
            <w:r w:rsidRPr="00507075">
              <w:rPr>
                <w:rFonts w:asciiTheme="minorHAnsi" w:eastAsia="Times New Roman" w:hAnsiTheme="minorHAnsi" w:cstheme="minorHAnsi"/>
                <w:lang w:val="fr-FR" w:eastAsia="fr-FR"/>
              </w:rPr>
              <w:t>701</w:t>
            </w:r>
            <w:r w:rsidR="00CE0828">
              <w:rPr>
                <w:rFonts w:asciiTheme="minorHAnsi" w:eastAsia="Times New Roman" w:hAnsiTheme="minorHAnsi" w:cstheme="minorHAnsi"/>
                <w:lang w:val="fr-FR" w:eastAsia="fr-FR"/>
              </w:rPr>
              <w:t xml:space="preserve">H, </w:t>
            </w:r>
            <w:r w:rsidRPr="00507075">
              <w:rPr>
                <w:rFonts w:asciiTheme="minorHAnsi" w:eastAsia="Times New Roman" w:hAnsiTheme="minorHAnsi" w:cstheme="minorHAnsi"/>
                <w:lang w:val="fr-FR" w:eastAsia="fr-FR"/>
              </w:rPr>
              <w:t>86</w:t>
            </w:r>
            <w:r w:rsidR="00CE0828">
              <w:rPr>
                <w:rFonts w:asciiTheme="minorHAnsi" w:eastAsia="Times New Roman" w:hAnsiTheme="minorHAnsi" w:cstheme="minorHAnsi"/>
                <w:lang w:val="fr-FR" w:eastAsia="fr-FR"/>
              </w:rPr>
              <w:t xml:space="preserve">F) </w:t>
            </w:r>
            <w:r w:rsidRPr="00507075">
              <w:rPr>
                <w:rFonts w:asciiTheme="minorHAnsi" w:eastAsia="Times New Roman" w:hAnsiTheme="minorHAnsi" w:cstheme="minorHAnsi"/>
                <w:lang w:val="fr-FR" w:eastAsia="fr-FR"/>
              </w:rPr>
              <w:t>dans la création de 1 567 km de pare-feu et la protection de 3 483 km2 d’habitat naturel</w:t>
            </w:r>
            <w:r w:rsidR="00CE0828">
              <w:rPr>
                <w:rFonts w:asciiTheme="minorHAnsi" w:eastAsia="Times New Roman" w:hAnsiTheme="minorHAnsi" w:cstheme="minorHAnsi"/>
                <w:lang w:val="fr-FR" w:eastAsia="fr-FR"/>
              </w:rPr>
              <w:t xml:space="preserve"> courant mars-avril 2022 (saison 2021-22), et </w:t>
            </w:r>
            <w:r w:rsidR="00331DFA" w:rsidRPr="00331DFA">
              <w:rPr>
                <w:rFonts w:cstheme="minorHAnsi"/>
                <w:lang w:val="fr-FR"/>
              </w:rPr>
              <w:t xml:space="preserve">790 </w:t>
            </w:r>
            <w:r w:rsidR="00BB197F">
              <w:rPr>
                <w:rFonts w:cstheme="minorHAnsi"/>
                <w:lang w:val="fr-FR"/>
              </w:rPr>
              <w:t xml:space="preserve">jeunes </w:t>
            </w:r>
            <w:r w:rsidR="00BB197F" w:rsidRPr="00E0566B">
              <w:rPr>
                <w:rFonts w:cstheme="minorHAnsi"/>
                <w:lang w:val="fr-FR"/>
              </w:rPr>
              <w:t>(</w:t>
            </w:r>
            <w:r w:rsidR="00331DFA" w:rsidRPr="00E0566B">
              <w:rPr>
                <w:rFonts w:cstheme="minorHAnsi"/>
                <w:lang w:val="fr-FR"/>
              </w:rPr>
              <w:t>749H</w:t>
            </w:r>
            <w:r w:rsidR="00BB197F" w:rsidRPr="00E0566B">
              <w:rPr>
                <w:rFonts w:cstheme="minorHAnsi"/>
                <w:lang w:val="fr-FR"/>
              </w:rPr>
              <w:t xml:space="preserve">, </w:t>
            </w:r>
            <w:r w:rsidR="00331DFA" w:rsidRPr="00E0566B">
              <w:rPr>
                <w:rFonts w:cstheme="minorHAnsi"/>
                <w:lang w:val="fr-FR"/>
              </w:rPr>
              <w:t>41F</w:t>
            </w:r>
            <w:r w:rsidR="00BB197F" w:rsidRPr="00E0566B">
              <w:rPr>
                <w:rFonts w:cstheme="minorHAnsi"/>
                <w:lang w:val="fr-FR"/>
              </w:rPr>
              <w:t>)</w:t>
            </w:r>
            <w:r w:rsidR="00E8116C">
              <w:rPr>
                <w:rFonts w:cstheme="minorHAnsi"/>
                <w:lang w:val="fr-FR"/>
              </w:rPr>
              <w:t xml:space="preserve"> dans la création</w:t>
            </w:r>
            <w:r w:rsidR="00BB197F">
              <w:rPr>
                <w:rFonts w:cstheme="minorHAnsi"/>
                <w:lang w:val="fr-FR"/>
              </w:rPr>
              <w:t xml:space="preserve"> de 1 250 km de pare-feu </w:t>
            </w:r>
            <w:r w:rsidR="00E8116C">
              <w:rPr>
                <w:rFonts w:cstheme="minorHAnsi"/>
                <w:lang w:val="fr-FR"/>
              </w:rPr>
              <w:t>et la protection de 1 167km2 de ressources naturelles entre octobre et début décembre 2022 (saison 2022-23).</w:t>
            </w:r>
          </w:p>
          <w:p w14:paraId="53EA71B1" w14:textId="77777777" w:rsidR="00AE0F3D" w:rsidRDefault="00AE0F3D" w:rsidP="00E8116C">
            <w:pPr>
              <w:pStyle w:val="Sub-ActivityHeading"/>
            </w:pPr>
            <w:r w:rsidRPr="00AE0F3D">
              <w:t>3.2.1.4 Financement de projets GRN</w:t>
            </w:r>
          </w:p>
          <w:p w14:paraId="2C91E4A2" w14:textId="06B126B5" w:rsidR="00AE0F3D" w:rsidRDefault="00AE0F3D" w:rsidP="00AE0F3D">
            <w:pPr>
              <w:pStyle w:val="Sansinterligne"/>
              <w:spacing w:before="120" w:after="120"/>
              <w:contextualSpacing/>
              <w:jc w:val="both"/>
              <w:rPr>
                <w:lang w:val="fr-FR" w:bidi="fr-FR"/>
              </w:rPr>
            </w:pPr>
            <w:r>
              <w:rPr>
                <w:lang w:val="fr-FR" w:bidi="fr-FR"/>
              </w:rPr>
              <w:t xml:space="preserve">21 projets de GRN </w:t>
            </w:r>
            <w:r w:rsidR="00E8116C">
              <w:rPr>
                <w:lang w:val="fr-FR" w:bidi="fr-FR"/>
              </w:rPr>
              <w:t xml:space="preserve">situés </w:t>
            </w:r>
            <w:r>
              <w:rPr>
                <w:lang w:val="fr-FR" w:bidi="fr-FR"/>
              </w:rPr>
              <w:t xml:space="preserve">dans les communes de </w:t>
            </w:r>
            <w:r w:rsidRPr="00AE0F3D">
              <w:rPr>
                <w:lang w:val="fr-FR" w:bidi="fr-FR"/>
              </w:rPr>
              <w:t>Bambara</w:t>
            </w:r>
            <w:r w:rsidR="00E8116C">
              <w:rPr>
                <w:lang w:val="fr-FR" w:bidi="fr-FR"/>
              </w:rPr>
              <w:t>-Maoudé</w:t>
            </w:r>
            <w:r w:rsidRPr="00AE0F3D">
              <w:rPr>
                <w:lang w:val="fr-FR" w:bidi="fr-FR"/>
              </w:rPr>
              <w:t xml:space="preserve">, Inadiatafane, Gossi, Haribomo, Ouinerden et </w:t>
            </w:r>
            <w:r w:rsidRPr="005B72F1">
              <w:rPr>
                <w:lang w:val="fr-FR" w:bidi="fr-FR"/>
              </w:rPr>
              <w:t>Hombori</w:t>
            </w:r>
            <w:r w:rsidR="00E8116C">
              <w:rPr>
                <w:lang w:val="fr-FR" w:bidi="fr-FR"/>
              </w:rPr>
              <w:t xml:space="preserve"> ont bénéficié de financement au cours du mois de novembre 2022</w:t>
            </w:r>
            <w:r w:rsidR="000E0A2D">
              <w:rPr>
                <w:lang w:val="fr-FR" w:bidi="fr-FR"/>
              </w:rPr>
              <w:t xml:space="preserve"> (voir aussi 3.2.2.3 ci-dessous)</w:t>
            </w:r>
            <w:r w:rsidRPr="005B72F1">
              <w:rPr>
                <w:lang w:val="fr-FR" w:bidi="fr-FR"/>
              </w:rPr>
              <w:t>.</w:t>
            </w:r>
            <w:r w:rsidR="00A04C83" w:rsidRPr="005B72F1">
              <w:rPr>
                <w:lang w:val="fr-FR" w:bidi="fr-FR"/>
              </w:rPr>
              <w:t xml:space="preserve"> Les associations bénéficiaires regroupent </w:t>
            </w:r>
            <w:r w:rsidR="005B72F1" w:rsidRPr="005B72F1">
              <w:rPr>
                <w:lang w:val="fr-FR" w:bidi="fr-FR"/>
              </w:rPr>
              <w:t xml:space="preserve">1 0004 </w:t>
            </w:r>
            <w:r w:rsidR="00A04C83" w:rsidRPr="005B72F1">
              <w:rPr>
                <w:lang w:val="fr-FR" w:bidi="fr-FR"/>
              </w:rPr>
              <w:t xml:space="preserve">membres dont </w:t>
            </w:r>
            <w:r w:rsidR="005B72F1" w:rsidRPr="005B72F1">
              <w:rPr>
                <w:lang w:val="fr-FR" w:bidi="fr-FR"/>
              </w:rPr>
              <w:t>776 H et</w:t>
            </w:r>
            <w:r w:rsidR="00A04C83" w:rsidRPr="005B72F1">
              <w:rPr>
                <w:lang w:val="fr-FR" w:bidi="fr-FR"/>
              </w:rPr>
              <w:t xml:space="preserve"> </w:t>
            </w:r>
            <w:r w:rsidR="005B72F1" w:rsidRPr="005B72F1">
              <w:rPr>
                <w:lang w:val="fr-FR" w:bidi="fr-FR"/>
              </w:rPr>
              <w:t xml:space="preserve">223 </w:t>
            </w:r>
            <w:r w:rsidR="00A04C83" w:rsidRPr="005B72F1">
              <w:rPr>
                <w:lang w:val="fr-FR" w:bidi="fr-FR"/>
              </w:rPr>
              <w:t>F</w:t>
            </w:r>
            <w:r w:rsidR="005B72F1" w:rsidRPr="005B72F1">
              <w:rPr>
                <w:lang w:val="fr-FR" w:bidi="fr-FR"/>
              </w:rPr>
              <w:t>.</w:t>
            </w:r>
          </w:p>
          <w:p w14:paraId="684569DF" w14:textId="77777777" w:rsidR="00845423" w:rsidRDefault="00845423" w:rsidP="00845423">
            <w:pPr>
              <w:pStyle w:val="Sansinterligne"/>
              <w:spacing w:before="120" w:after="120"/>
              <w:jc w:val="both"/>
              <w:rPr>
                <w:rFonts w:cstheme="minorHAnsi"/>
                <w:b/>
                <w:bCs/>
                <w:lang w:val="fr-FR"/>
              </w:rPr>
            </w:pPr>
          </w:p>
          <w:p w14:paraId="13CF58D0" w14:textId="4607E5F5" w:rsidR="00722194" w:rsidRPr="00E8116C" w:rsidRDefault="00845423" w:rsidP="00E8116C">
            <w:pPr>
              <w:pStyle w:val="Sansinterligne"/>
              <w:shd w:val="clear" w:color="auto" w:fill="FBE4D5" w:themeFill="accent2" w:themeFillTint="33"/>
              <w:spacing w:before="120" w:after="120"/>
              <w:jc w:val="both"/>
              <w:rPr>
                <w:rFonts w:cstheme="minorHAnsi"/>
                <w:b/>
                <w:bCs/>
                <w:lang w:val="fr-FR"/>
              </w:rPr>
            </w:pPr>
            <w:r w:rsidRPr="00D63C02">
              <w:rPr>
                <w:rFonts w:cstheme="minorHAnsi"/>
                <w:b/>
                <w:bCs/>
                <w:lang w:val="fr-FR"/>
              </w:rPr>
              <w:t>A</w:t>
            </w:r>
            <w:r>
              <w:rPr>
                <w:rFonts w:cstheme="minorHAnsi"/>
                <w:b/>
                <w:bCs/>
                <w:lang w:val="fr-FR"/>
              </w:rPr>
              <w:t>ctivité</w:t>
            </w:r>
            <w:r w:rsidRPr="00D63C02">
              <w:rPr>
                <w:rFonts w:cstheme="minorHAnsi"/>
                <w:b/>
                <w:bCs/>
                <w:lang w:val="fr-FR"/>
              </w:rPr>
              <w:t xml:space="preserve"> 3.2.2 Dotation en subventions de micro-crédits du PNUD à des communautés locales sélectionnées dans les communes de Bambara</w:t>
            </w:r>
            <w:r>
              <w:rPr>
                <w:rFonts w:cstheme="minorHAnsi"/>
                <w:b/>
                <w:bCs/>
                <w:lang w:val="fr-FR"/>
              </w:rPr>
              <w:t>-</w:t>
            </w:r>
            <w:r w:rsidRPr="00D63C02">
              <w:rPr>
                <w:rFonts w:cstheme="minorHAnsi"/>
                <w:b/>
                <w:bCs/>
                <w:lang w:val="fr-FR"/>
              </w:rPr>
              <w:t>Maoudé, Gandamia et Haire pour élaborer et mettre en œuvre 20-24 projets de moyens de subsistance de remplacement</w:t>
            </w:r>
          </w:p>
          <w:p w14:paraId="4A56552D" w14:textId="440520FD" w:rsidR="00722194" w:rsidRPr="00722194" w:rsidRDefault="00722194" w:rsidP="00E8116C">
            <w:pPr>
              <w:pStyle w:val="Sub-ActivityHeading"/>
            </w:pPr>
            <w:r w:rsidRPr="00722194">
              <w:t>3.2.2.3 Sélection des meilleurs projets</w:t>
            </w:r>
          </w:p>
          <w:p w14:paraId="612AD973" w14:textId="08566ABD" w:rsidR="00700388" w:rsidRPr="00E8116C" w:rsidRDefault="00722194" w:rsidP="00700388">
            <w:pPr>
              <w:pStyle w:val="Sansinterligne"/>
              <w:spacing w:before="120" w:after="120"/>
              <w:jc w:val="both"/>
              <w:rPr>
                <w:rFonts w:eastAsia="Times New Roman" w:cstheme="minorHAnsi"/>
                <w:lang w:val="fr-FR" w:eastAsia="fr-FR"/>
              </w:rPr>
            </w:pPr>
            <w:r>
              <w:rPr>
                <w:rFonts w:eastAsia="Times New Roman" w:cstheme="minorHAnsi"/>
                <w:lang w:val="fr-FR" w:eastAsia="fr-FR"/>
              </w:rPr>
              <w:t>Un</w:t>
            </w:r>
            <w:r w:rsidRPr="00D63C02">
              <w:rPr>
                <w:rFonts w:eastAsia="Times New Roman" w:cstheme="minorHAnsi"/>
                <w:lang w:val="fr-FR" w:eastAsia="fr-FR"/>
              </w:rPr>
              <w:t xml:space="preserve"> atelier d’</w:t>
            </w:r>
            <w:r>
              <w:rPr>
                <w:rFonts w:eastAsia="Times New Roman" w:cstheme="minorHAnsi"/>
                <w:lang w:val="fr-FR" w:eastAsia="fr-FR"/>
              </w:rPr>
              <w:t>information et d’</w:t>
            </w:r>
            <w:r w:rsidRPr="00D63C02">
              <w:rPr>
                <w:rFonts w:eastAsia="Times New Roman" w:cstheme="minorHAnsi"/>
                <w:lang w:val="fr-FR" w:eastAsia="fr-FR"/>
              </w:rPr>
              <w:t>arbitrage de deux</w:t>
            </w:r>
            <w:r>
              <w:rPr>
                <w:rFonts w:eastAsia="Times New Roman" w:cstheme="minorHAnsi"/>
                <w:lang w:val="fr-FR" w:eastAsia="fr-FR"/>
              </w:rPr>
              <w:t xml:space="preserve"> (2)</w:t>
            </w:r>
            <w:r w:rsidRPr="00D63C02">
              <w:rPr>
                <w:rFonts w:eastAsia="Times New Roman" w:cstheme="minorHAnsi"/>
                <w:lang w:val="fr-FR" w:eastAsia="fr-FR"/>
              </w:rPr>
              <w:t xml:space="preserve"> jours </w:t>
            </w:r>
            <w:r w:rsidR="00700388">
              <w:rPr>
                <w:rFonts w:eastAsia="Times New Roman" w:cstheme="minorHAnsi"/>
                <w:lang w:val="fr-FR" w:eastAsia="fr-FR"/>
              </w:rPr>
              <w:t>a été organisé</w:t>
            </w:r>
            <w:r>
              <w:rPr>
                <w:rFonts w:eastAsia="Times New Roman" w:cstheme="minorHAnsi"/>
                <w:lang w:val="fr-FR" w:eastAsia="fr-FR"/>
              </w:rPr>
              <w:t xml:space="preserve"> </w:t>
            </w:r>
            <w:r w:rsidR="00E8116C">
              <w:rPr>
                <w:rFonts w:eastAsia="Times New Roman" w:cstheme="minorHAnsi"/>
                <w:lang w:val="fr-FR" w:eastAsia="fr-FR"/>
              </w:rPr>
              <w:t>les 12-</w:t>
            </w:r>
            <w:r w:rsidRPr="00D63C02">
              <w:rPr>
                <w:rFonts w:eastAsia="Times New Roman" w:cstheme="minorHAnsi"/>
                <w:lang w:val="fr-FR" w:eastAsia="fr-FR"/>
              </w:rPr>
              <w:t>13</w:t>
            </w:r>
            <w:r w:rsidR="00E8116C">
              <w:rPr>
                <w:rFonts w:eastAsia="Times New Roman" w:cstheme="minorHAnsi"/>
                <w:lang w:val="fr-FR" w:eastAsia="fr-FR"/>
              </w:rPr>
              <w:t xml:space="preserve"> mai </w:t>
            </w:r>
            <w:r w:rsidRPr="00D63C02">
              <w:rPr>
                <w:rFonts w:eastAsia="Times New Roman" w:cstheme="minorHAnsi"/>
                <w:lang w:val="fr-FR" w:eastAsia="fr-FR"/>
              </w:rPr>
              <w:t xml:space="preserve">à l'Hôtel LAFIA </w:t>
            </w:r>
            <w:r>
              <w:rPr>
                <w:rFonts w:eastAsia="Times New Roman" w:cstheme="minorHAnsi"/>
                <w:lang w:val="fr-FR" w:eastAsia="fr-FR"/>
              </w:rPr>
              <w:t xml:space="preserve">à </w:t>
            </w:r>
            <w:r w:rsidRPr="00D63C02">
              <w:rPr>
                <w:rFonts w:eastAsia="Times New Roman" w:cstheme="minorHAnsi"/>
                <w:lang w:val="fr-FR" w:eastAsia="fr-FR"/>
              </w:rPr>
              <w:t xml:space="preserve">Sévaré pour </w:t>
            </w:r>
            <w:r w:rsidR="00E8116C">
              <w:rPr>
                <w:rFonts w:eastAsia="Times New Roman" w:cstheme="minorHAnsi"/>
                <w:lang w:val="fr-FR" w:eastAsia="fr-FR"/>
              </w:rPr>
              <w:t>étudier la</w:t>
            </w:r>
            <w:r w:rsidRPr="00D63C02">
              <w:rPr>
                <w:rFonts w:eastAsia="Times New Roman" w:cstheme="minorHAnsi"/>
                <w:lang w:val="fr-FR" w:eastAsia="fr-FR"/>
              </w:rPr>
              <w:t xml:space="preserve"> faisabilité technique et financière des </w:t>
            </w:r>
            <w:r w:rsidR="00700388" w:rsidRPr="00700388">
              <w:rPr>
                <w:rFonts w:eastAsia="Times New Roman" w:cstheme="minorHAnsi"/>
                <w:lang w:val="fr-FR" w:eastAsia="fr-FR"/>
              </w:rPr>
              <w:t>micro-projets GRN et AGR présentés pour financement par les communautés des communes de Gossi, Ouinerden, Haribomo, Hombori et Pétaka</w:t>
            </w:r>
            <w:r>
              <w:rPr>
                <w:rFonts w:eastAsia="Times New Roman" w:cstheme="minorHAnsi"/>
                <w:lang w:val="fr-FR" w:eastAsia="fr-FR"/>
              </w:rPr>
              <w:t>. L’atelier a regroupé 4</w:t>
            </w:r>
            <w:r w:rsidR="00700388">
              <w:rPr>
                <w:rFonts w:eastAsia="Times New Roman" w:cstheme="minorHAnsi"/>
                <w:lang w:val="fr-FR" w:eastAsia="fr-FR"/>
              </w:rPr>
              <w:t>3</w:t>
            </w:r>
            <w:r>
              <w:rPr>
                <w:rFonts w:eastAsia="Times New Roman" w:cstheme="minorHAnsi"/>
                <w:lang w:val="fr-FR" w:eastAsia="fr-FR"/>
              </w:rPr>
              <w:t xml:space="preserve"> participants</w:t>
            </w:r>
            <w:r w:rsidR="00700388">
              <w:rPr>
                <w:rFonts w:eastAsia="Times New Roman" w:cstheme="minorHAnsi"/>
                <w:lang w:val="fr-FR" w:eastAsia="fr-FR"/>
              </w:rPr>
              <w:t xml:space="preserve"> dont 8 femmes</w:t>
            </w:r>
            <w:r w:rsidR="00700388" w:rsidRPr="00700388">
              <w:rPr>
                <w:rFonts w:eastAsia="Times New Roman" w:cstheme="minorHAnsi"/>
                <w:lang w:val="fr-FR" w:eastAsia="fr-FR"/>
              </w:rPr>
              <w:t xml:space="preserve"> </w:t>
            </w:r>
            <w:r>
              <w:rPr>
                <w:rFonts w:eastAsia="Times New Roman" w:cstheme="minorHAnsi"/>
                <w:lang w:val="fr-FR" w:eastAsia="fr-FR"/>
              </w:rPr>
              <w:t>(</w:t>
            </w:r>
            <w:r w:rsidRPr="00D63C02">
              <w:rPr>
                <w:rFonts w:eastAsia="Times New Roman" w:cstheme="minorHAnsi"/>
                <w:lang w:val="fr-FR" w:eastAsia="fr-FR"/>
              </w:rPr>
              <w:t>élus, services techniques, administration et promoteur</w:t>
            </w:r>
            <w:r>
              <w:rPr>
                <w:rFonts w:eastAsia="Times New Roman" w:cstheme="minorHAnsi"/>
                <w:lang w:val="fr-FR" w:eastAsia="fr-FR"/>
              </w:rPr>
              <w:t xml:space="preserve">s </w:t>
            </w:r>
            <w:r w:rsidRPr="00D63C02">
              <w:rPr>
                <w:rFonts w:eastAsia="Times New Roman" w:cstheme="minorHAnsi"/>
                <w:lang w:val="fr-FR" w:eastAsia="fr-FR"/>
              </w:rPr>
              <w:t>des AGR</w:t>
            </w:r>
            <w:r>
              <w:rPr>
                <w:rFonts w:eastAsia="Times New Roman" w:cstheme="minorHAnsi"/>
                <w:lang w:val="fr-FR" w:eastAsia="fr-FR"/>
              </w:rPr>
              <w:t xml:space="preserve">) en plus de l’équipe </w:t>
            </w:r>
            <w:r w:rsidR="00E8116C">
              <w:rPr>
                <w:rFonts w:eastAsia="Times New Roman" w:cstheme="minorHAnsi"/>
                <w:lang w:val="fr-FR" w:eastAsia="fr-FR"/>
              </w:rPr>
              <w:t>du projet</w:t>
            </w:r>
            <w:r>
              <w:rPr>
                <w:rFonts w:eastAsia="Times New Roman" w:cstheme="minorHAnsi"/>
                <w:lang w:val="fr-FR" w:eastAsia="fr-FR"/>
              </w:rPr>
              <w:t>.</w:t>
            </w:r>
            <w:r w:rsidR="00700388">
              <w:rPr>
                <w:rFonts w:eastAsia="Times New Roman" w:cstheme="minorHAnsi"/>
                <w:lang w:val="fr-FR" w:eastAsia="fr-FR"/>
              </w:rPr>
              <w:t xml:space="preserve"> </w:t>
            </w:r>
            <w:r w:rsidR="000E0A2D">
              <w:rPr>
                <w:rFonts w:eastAsia="Times New Roman" w:cstheme="minorHAnsi"/>
                <w:lang w:val="fr-FR" w:eastAsia="fr-FR"/>
              </w:rPr>
              <w:t xml:space="preserve">A l’issue des débats, 86 projets AGR et 21 projets GRN ont été retenus pour financement sur la base des critères suivants : (i) les initiatives </w:t>
            </w:r>
            <w:r w:rsidR="00700388" w:rsidRPr="00700388">
              <w:rPr>
                <w:rFonts w:eastAsia="Times New Roman" w:cstheme="minorHAnsi"/>
                <w:lang w:val="fr-FR" w:eastAsia="fr-FR"/>
              </w:rPr>
              <w:t>bénéfici</w:t>
            </w:r>
            <w:r w:rsidR="000E0A2D">
              <w:rPr>
                <w:rFonts w:eastAsia="Times New Roman" w:cstheme="minorHAnsi"/>
                <w:lang w:val="fr-FR" w:eastAsia="fr-FR"/>
              </w:rPr>
              <w:t>ent</w:t>
            </w:r>
            <w:r w:rsidR="00700388" w:rsidRPr="00700388">
              <w:rPr>
                <w:rFonts w:eastAsia="Times New Roman" w:cstheme="minorHAnsi"/>
                <w:lang w:val="fr-FR" w:eastAsia="fr-FR"/>
              </w:rPr>
              <w:t xml:space="preserve"> à la communauté et non à des intérêts individuels et n’engendre</w:t>
            </w:r>
            <w:r w:rsidR="000E0A2D">
              <w:rPr>
                <w:rFonts w:eastAsia="Times New Roman" w:cstheme="minorHAnsi"/>
                <w:lang w:val="fr-FR" w:eastAsia="fr-FR"/>
              </w:rPr>
              <w:t>nt</w:t>
            </w:r>
            <w:r w:rsidR="00700388" w:rsidRPr="00700388">
              <w:rPr>
                <w:rFonts w:eastAsia="Times New Roman" w:cstheme="minorHAnsi"/>
                <w:lang w:val="fr-FR" w:eastAsia="fr-FR"/>
              </w:rPr>
              <w:t xml:space="preserve"> aucune tension communautaire ou socio</w:t>
            </w:r>
            <w:r w:rsidR="000E0A2D">
              <w:rPr>
                <w:rFonts w:eastAsia="Times New Roman" w:cstheme="minorHAnsi"/>
                <w:lang w:val="fr-FR" w:eastAsia="fr-FR"/>
              </w:rPr>
              <w:t>-</w:t>
            </w:r>
            <w:r w:rsidR="00700388" w:rsidRPr="00700388">
              <w:rPr>
                <w:rFonts w:eastAsia="Times New Roman" w:cstheme="minorHAnsi"/>
                <w:lang w:val="fr-FR" w:eastAsia="fr-FR"/>
              </w:rPr>
              <w:t>ethnique ;</w:t>
            </w:r>
            <w:r w:rsidR="000E0A2D">
              <w:rPr>
                <w:rFonts w:eastAsia="Times New Roman" w:cstheme="minorHAnsi"/>
                <w:lang w:val="fr-FR" w:eastAsia="fr-FR"/>
              </w:rPr>
              <w:t xml:space="preserve"> (ii) les </w:t>
            </w:r>
            <w:r w:rsidR="00700388" w:rsidRPr="00700388">
              <w:rPr>
                <w:rFonts w:eastAsia="Times New Roman" w:cstheme="minorHAnsi"/>
                <w:lang w:val="fr-FR" w:eastAsia="fr-FR"/>
              </w:rPr>
              <w:t xml:space="preserve">initiatives s'adressent à la cause et </w:t>
            </w:r>
            <w:r w:rsidR="000E0A2D">
              <w:rPr>
                <w:rFonts w:eastAsia="Times New Roman" w:cstheme="minorHAnsi"/>
                <w:lang w:val="fr-FR" w:eastAsia="fr-FR"/>
              </w:rPr>
              <w:t>non</w:t>
            </w:r>
            <w:r w:rsidR="00700388" w:rsidRPr="00700388">
              <w:rPr>
                <w:rFonts w:eastAsia="Times New Roman" w:cstheme="minorHAnsi"/>
                <w:lang w:val="fr-FR" w:eastAsia="fr-FR"/>
              </w:rPr>
              <w:t xml:space="preserve"> seulement aux symptômes de la dégradation des ressources naturelles ou de la pauvreté locale ;</w:t>
            </w:r>
            <w:r w:rsidR="000E0A2D">
              <w:rPr>
                <w:rFonts w:eastAsia="Times New Roman" w:cstheme="minorHAnsi"/>
                <w:lang w:val="fr-FR" w:eastAsia="fr-FR"/>
              </w:rPr>
              <w:t xml:space="preserve"> (iii) les </w:t>
            </w:r>
            <w:r w:rsidR="00700388" w:rsidRPr="00700388">
              <w:rPr>
                <w:rFonts w:eastAsia="Times New Roman" w:cstheme="minorHAnsi"/>
                <w:lang w:val="fr-FR" w:eastAsia="fr-FR"/>
              </w:rPr>
              <w:t>promoteurs démontrent des compétences professionnelles nécessaires pour l’exécution de l’initiative ;</w:t>
            </w:r>
            <w:r w:rsidR="000E0A2D">
              <w:rPr>
                <w:rFonts w:eastAsia="Times New Roman" w:cstheme="minorHAnsi"/>
                <w:lang w:val="fr-FR" w:eastAsia="fr-FR"/>
              </w:rPr>
              <w:t xml:space="preserve"> (iv)</w:t>
            </w:r>
            <w:r w:rsidR="00700388" w:rsidRPr="00700388">
              <w:rPr>
                <w:rFonts w:eastAsia="Times New Roman" w:cstheme="minorHAnsi"/>
                <w:lang w:val="fr-FR" w:eastAsia="fr-FR"/>
              </w:rPr>
              <w:t xml:space="preserve"> les promoteurs </w:t>
            </w:r>
            <w:r w:rsidR="000E0A2D">
              <w:rPr>
                <w:rFonts w:eastAsia="Times New Roman" w:cstheme="minorHAnsi"/>
                <w:lang w:val="fr-FR" w:eastAsia="fr-FR"/>
              </w:rPr>
              <w:t xml:space="preserve">sont </w:t>
            </w:r>
            <w:r w:rsidR="00700388" w:rsidRPr="00700388">
              <w:rPr>
                <w:rFonts w:eastAsia="Times New Roman" w:cstheme="minorHAnsi"/>
                <w:lang w:val="fr-FR" w:eastAsia="fr-FR"/>
              </w:rPr>
              <w:t>en règle</w:t>
            </w:r>
            <w:r w:rsidR="000E0A2D">
              <w:rPr>
                <w:rFonts w:eastAsia="Times New Roman" w:cstheme="minorHAnsi"/>
                <w:lang w:val="fr-FR" w:eastAsia="fr-FR"/>
              </w:rPr>
              <w:t>,</w:t>
            </w:r>
            <w:r w:rsidR="00700388" w:rsidRPr="00700388">
              <w:rPr>
                <w:rFonts w:eastAsia="Times New Roman" w:cstheme="minorHAnsi"/>
                <w:lang w:val="fr-FR" w:eastAsia="fr-FR"/>
              </w:rPr>
              <w:t xml:space="preserve"> c’est-à-dire officiellement reconnus de la communauté si possible.</w:t>
            </w:r>
          </w:p>
          <w:p w14:paraId="01273E1C" w14:textId="01B405F5" w:rsidR="00845423" w:rsidRPr="00845423" w:rsidRDefault="00845423" w:rsidP="00E8116C">
            <w:pPr>
              <w:pStyle w:val="Sub-ActivityHeading"/>
            </w:pPr>
            <w:r w:rsidRPr="00845423">
              <w:t>3.2.2.4 Financement des meilleurs projets</w:t>
            </w:r>
          </w:p>
          <w:p w14:paraId="7D84FA3D" w14:textId="339C4778" w:rsidR="00722194" w:rsidRDefault="00BA0AF3" w:rsidP="00722194">
            <w:pPr>
              <w:pStyle w:val="Sansinterligne"/>
              <w:spacing w:before="120" w:after="120"/>
              <w:jc w:val="both"/>
              <w:rPr>
                <w:rFonts w:eastAsia="Times New Roman" w:cstheme="minorHAnsi"/>
                <w:lang w:val="fr-FR" w:eastAsia="fr-FR"/>
              </w:rPr>
            </w:pPr>
            <w:r>
              <w:rPr>
                <w:rFonts w:eastAsia="Times New Roman" w:cstheme="minorHAnsi"/>
                <w:lang w:val="fr-FR" w:eastAsia="fr-FR"/>
              </w:rPr>
              <w:t xml:space="preserve">72 initiatives </w:t>
            </w:r>
            <w:r w:rsidR="00722194">
              <w:rPr>
                <w:rFonts w:eastAsia="Times New Roman" w:cstheme="minorHAnsi"/>
                <w:lang w:val="fr-FR" w:eastAsia="fr-FR"/>
              </w:rPr>
              <w:t>AGR ont été financées au mois de juin</w:t>
            </w:r>
            <w:r w:rsidR="00B3435E">
              <w:rPr>
                <w:rFonts w:eastAsia="Times New Roman" w:cstheme="minorHAnsi"/>
                <w:lang w:val="fr-FR" w:eastAsia="fr-FR"/>
              </w:rPr>
              <w:t>, suivies de q</w:t>
            </w:r>
            <w:r>
              <w:rPr>
                <w:rFonts w:eastAsia="Times New Roman" w:cstheme="minorHAnsi"/>
                <w:lang w:val="fr-FR" w:eastAsia="fr-FR"/>
              </w:rPr>
              <w:t xml:space="preserve">uatorze (14) initiatives </w:t>
            </w:r>
            <w:r w:rsidR="00B3435E">
              <w:rPr>
                <w:rFonts w:eastAsia="Times New Roman" w:cstheme="minorHAnsi"/>
                <w:lang w:val="fr-FR" w:eastAsia="fr-FR"/>
              </w:rPr>
              <w:t xml:space="preserve">au mois de juillet, </w:t>
            </w:r>
            <w:r>
              <w:rPr>
                <w:rFonts w:eastAsia="Times New Roman" w:cstheme="minorHAnsi"/>
                <w:lang w:val="fr-FR" w:eastAsia="fr-FR"/>
              </w:rPr>
              <w:t>ce qui porte le total à (86)</w:t>
            </w:r>
            <w:r w:rsidR="00B3435E">
              <w:rPr>
                <w:rFonts w:eastAsia="Times New Roman" w:cstheme="minorHAnsi"/>
                <w:lang w:val="fr-FR" w:eastAsia="fr-FR"/>
              </w:rPr>
              <w:t xml:space="preserve"> initiatives</w:t>
            </w:r>
            <w:r>
              <w:rPr>
                <w:rFonts w:eastAsia="Times New Roman" w:cstheme="minorHAnsi"/>
                <w:lang w:val="fr-FR" w:eastAsia="fr-FR"/>
              </w:rPr>
              <w:t xml:space="preserve"> AGR</w:t>
            </w:r>
            <w:r w:rsidR="00B3435E">
              <w:rPr>
                <w:rFonts w:eastAsia="Times New Roman" w:cstheme="minorHAnsi"/>
                <w:lang w:val="fr-FR" w:eastAsia="fr-FR"/>
              </w:rPr>
              <w:t xml:space="preserve"> réparties sur les communes de Gossi, Haribomo, Hombori, Ouinerden et Petaka</w:t>
            </w:r>
            <w:r>
              <w:rPr>
                <w:rFonts w:eastAsia="Times New Roman" w:cstheme="minorHAnsi"/>
                <w:lang w:val="fr-FR" w:eastAsia="fr-FR"/>
              </w:rPr>
              <w:t xml:space="preserve">. Toutes </w:t>
            </w:r>
            <w:r w:rsidR="00B3435E">
              <w:rPr>
                <w:rFonts w:eastAsia="Times New Roman" w:cstheme="minorHAnsi"/>
                <w:lang w:val="fr-FR" w:eastAsia="fr-FR"/>
              </w:rPr>
              <w:t>ont comme élément principal l’embouche, complétée dans certains cas par le petit commerce et/ou l’agriculture.</w:t>
            </w:r>
          </w:p>
          <w:p w14:paraId="59867B28" w14:textId="79BCAE3D" w:rsidR="00845423" w:rsidRPr="00B3435E" w:rsidRDefault="00722194" w:rsidP="00845423">
            <w:pPr>
              <w:pStyle w:val="Sansinterligne"/>
              <w:spacing w:before="120" w:after="120"/>
              <w:jc w:val="both"/>
              <w:rPr>
                <w:rFonts w:eastAsia="Times New Roman" w:cstheme="minorHAnsi"/>
                <w:lang w:val="fr-FR" w:eastAsia="fr-FR"/>
              </w:rPr>
            </w:pPr>
            <w:r>
              <w:rPr>
                <w:rFonts w:eastAsia="Times New Roman" w:cstheme="minorHAnsi"/>
                <w:lang w:val="fr-FR" w:eastAsia="fr-FR"/>
              </w:rPr>
              <w:t xml:space="preserve">L’embouche </w:t>
            </w:r>
            <w:r w:rsidRPr="00C92F65">
              <w:rPr>
                <w:rFonts w:eastAsia="Times New Roman" w:cstheme="minorHAnsi"/>
                <w:lang w:val="fr-FR" w:eastAsia="fr-FR"/>
              </w:rPr>
              <w:t>est une activité d’élevage qui consiste à acheter</w:t>
            </w:r>
            <w:r>
              <w:rPr>
                <w:rFonts w:eastAsia="Times New Roman" w:cstheme="minorHAnsi"/>
                <w:lang w:val="fr-FR" w:eastAsia="fr-FR"/>
              </w:rPr>
              <w:t>,</w:t>
            </w:r>
            <w:r w:rsidRPr="00C92F65">
              <w:rPr>
                <w:rFonts w:eastAsia="Times New Roman" w:cstheme="minorHAnsi"/>
                <w:lang w:val="fr-FR" w:eastAsia="fr-FR"/>
              </w:rPr>
              <w:t xml:space="preserve"> ou à choisir dans son propre troupeau</w:t>
            </w:r>
            <w:r>
              <w:rPr>
                <w:rFonts w:eastAsia="Times New Roman" w:cstheme="minorHAnsi"/>
                <w:lang w:val="fr-FR" w:eastAsia="fr-FR"/>
              </w:rPr>
              <w:t>,</w:t>
            </w:r>
            <w:r w:rsidRPr="00C92F65">
              <w:rPr>
                <w:rFonts w:eastAsia="Times New Roman" w:cstheme="minorHAnsi"/>
                <w:lang w:val="fr-FR" w:eastAsia="fr-FR"/>
              </w:rPr>
              <w:t xml:space="preserve"> des sujets jeunes ou maigres qui sont nourris intensément pour 3 à 6 mois </w:t>
            </w:r>
            <w:r>
              <w:rPr>
                <w:rFonts w:eastAsia="Times New Roman" w:cstheme="minorHAnsi"/>
                <w:lang w:val="fr-FR" w:eastAsia="fr-FR"/>
              </w:rPr>
              <w:t>pour les vendre</w:t>
            </w:r>
            <w:r w:rsidRPr="00C92F65">
              <w:rPr>
                <w:rFonts w:eastAsia="Times New Roman" w:cstheme="minorHAnsi"/>
                <w:lang w:val="fr-FR" w:eastAsia="fr-FR"/>
              </w:rPr>
              <w:t xml:space="preserve"> sur le marché. </w:t>
            </w:r>
            <w:r>
              <w:rPr>
                <w:rFonts w:eastAsia="Times New Roman" w:cstheme="minorHAnsi"/>
                <w:lang w:val="fr-FR" w:eastAsia="fr-FR"/>
              </w:rPr>
              <w:t>Le choix de cette activité s’explique par le fait que les communautés financées sont des communautés pastorales, qui</w:t>
            </w:r>
            <w:r w:rsidRPr="00C92F65">
              <w:rPr>
                <w:rFonts w:eastAsia="Times New Roman" w:cstheme="minorHAnsi"/>
                <w:lang w:val="fr-FR" w:eastAsia="fr-FR"/>
              </w:rPr>
              <w:t xml:space="preserve"> disposent </w:t>
            </w:r>
            <w:r>
              <w:rPr>
                <w:rFonts w:eastAsia="Times New Roman" w:cstheme="minorHAnsi"/>
                <w:lang w:val="fr-FR" w:eastAsia="fr-FR"/>
              </w:rPr>
              <w:t xml:space="preserve">déjà </w:t>
            </w:r>
            <w:r w:rsidRPr="00C92F65">
              <w:rPr>
                <w:rFonts w:eastAsia="Times New Roman" w:cstheme="minorHAnsi"/>
                <w:lang w:val="fr-FR" w:eastAsia="fr-FR"/>
              </w:rPr>
              <w:t>d’un savoir-faire local en</w:t>
            </w:r>
            <w:r>
              <w:rPr>
                <w:rFonts w:eastAsia="Times New Roman" w:cstheme="minorHAnsi"/>
                <w:lang w:val="fr-FR" w:eastAsia="fr-FR"/>
              </w:rPr>
              <w:t xml:space="preserve"> matière d’embouche puisqu’elle occupe une place </w:t>
            </w:r>
            <w:r w:rsidRPr="00C92F65">
              <w:rPr>
                <w:rFonts w:eastAsia="Times New Roman" w:cstheme="minorHAnsi"/>
                <w:lang w:val="fr-FR" w:eastAsia="fr-FR"/>
              </w:rPr>
              <w:t>importante dans le système de production d</w:t>
            </w:r>
            <w:r>
              <w:rPr>
                <w:rFonts w:eastAsia="Times New Roman" w:cstheme="minorHAnsi"/>
                <w:lang w:val="fr-FR" w:eastAsia="fr-FR"/>
              </w:rPr>
              <w:t>e</w:t>
            </w:r>
            <w:r w:rsidRPr="00C92F65">
              <w:rPr>
                <w:rFonts w:eastAsia="Times New Roman" w:cstheme="minorHAnsi"/>
                <w:lang w:val="fr-FR" w:eastAsia="fr-FR"/>
              </w:rPr>
              <w:t xml:space="preserve"> la zone</w:t>
            </w:r>
            <w:r>
              <w:rPr>
                <w:rFonts w:eastAsia="Times New Roman" w:cstheme="minorHAnsi"/>
                <w:lang w:val="fr-FR" w:eastAsia="fr-FR"/>
              </w:rPr>
              <w:t>, permettant de générer des r</w:t>
            </w:r>
            <w:r w:rsidRPr="00C92F65">
              <w:rPr>
                <w:rFonts w:eastAsia="Times New Roman" w:cstheme="minorHAnsi"/>
                <w:lang w:val="fr-FR" w:eastAsia="fr-FR"/>
              </w:rPr>
              <w:t xml:space="preserve">evenus intéressants pour </w:t>
            </w:r>
            <w:r>
              <w:rPr>
                <w:rFonts w:eastAsia="Times New Roman" w:cstheme="minorHAnsi"/>
                <w:lang w:val="fr-FR" w:eastAsia="fr-FR"/>
              </w:rPr>
              <w:t>l</w:t>
            </w:r>
            <w:r w:rsidRPr="00C92F65">
              <w:rPr>
                <w:rFonts w:eastAsia="Times New Roman" w:cstheme="minorHAnsi"/>
                <w:lang w:val="fr-FR" w:eastAsia="fr-FR"/>
              </w:rPr>
              <w:t xml:space="preserve">es </w:t>
            </w:r>
            <w:r>
              <w:rPr>
                <w:rFonts w:eastAsia="Times New Roman" w:cstheme="minorHAnsi"/>
                <w:lang w:val="fr-FR" w:eastAsia="fr-FR"/>
              </w:rPr>
              <w:t>individus</w:t>
            </w:r>
            <w:r w:rsidRPr="00C92F65">
              <w:rPr>
                <w:rFonts w:eastAsia="Times New Roman" w:cstheme="minorHAnsi"/>
                <w:lang w:val="fr-FR" w:eastAsia="fr-FR"/>
              </w:rPr>
              <w:t>, les foyers et les ménages</w:t>
            </w:r>
            <w:r>
              <w:rPr>
                <w:rFonts w:eastAsia="Times New Roman" w:cstheme="minorHAnsi"/>
                <w:lang w:val="fr-FR" w:eastAsia="fr-FR"/>
              </w:rPr>
              <w:t>, sans trop de contrainte ; elle constitue donc</w:t>
            </w:r>
            <w:r w:rsidRPr="00C92F65">
              <w:rPr>
                <w:rFonts w:eastAsia="Times New Roman" w:cstheme="minorHAnsi"/>
                <w:lang w:val="fr-FR" w:eastAsia="fr-FR"/>
              </w:rPr>
              <w:t xml:space="preserve"> </w:t>
            </w:r>
            <w:r>
              <w:rPr>
                <w:rFonts w:eastAsia="Times New Roman" w:cstheme="minorHAnsi"/>
                <w:lang w:val="fr-FR" w:eastAsia="fr-FR"/>
              </w:rPr>
              <w:t>l’AGR</w:t>
            </w:r>
            <w:r w:rsidRPr="00C92F65">
              <w:rPr>
                <w:rFonts w:eastAsia="Times New Roman" w:cstheme="minorHAnsi"/>
                <w:lang w:val="fr-FR" w:eastAsia="fr-FR"/>
              </w:rPr>
              <w:t xml:space="preserve"> préférée par les communautés</w:t>
            </w:r>
            <w:r>
              <w:rPr>
                <w:rFonts w:eastAsia="Times New Roman" w:cstheme="minorHAnsi"/>
                <w:lang w:val="fr-FR" w:eastAsia="fr-FR"/>
              </w:rPr>
              <w:t>. B</w:t>
            </w:r>
            <w:r w:rsidRPr="00C92F65">
              <w:rPr>
                <w:rFonts w:eastAsia="Times New Roman" w:cstheme="minorHAnsi"/>
                <w:lang w:val="fr-FR" w:eastAsia="fr-FR"/>
              </w:rPr>
              <w:t>ien géré</w:t>
            </w:r>
            <w:r>
              <w:rPr>
                <w:rFonts w:eastAsia="Times New Roman" w:cstheme="minorHAnsi"/>
                <w:lang w:val="fr-FR" w:eastAsia="fr-FR"/>
              </w:rPr>
              <w:t>e</w:t>
            </w:r>
            <w:r w:rsidRPr="00C92F65">
              <w:rPr>
                <w:rFonts w:eastAsia="Times New Roman" w:cstheme="minorHAnsi"/>
                <w:lang w:val="fr-FR" w:eastAsia="fr-FR"/>
              </w:rPr>
              <w:t xml:space="preserve">, elle peut être reprise par le porteur 3 à 4 fois dans l’année et ne nécessite pas beaucoup d’engagement de la part du projet en matière de suivi et d’encadrement. </w:t>
            </w:r>
            <w:r>
              <w:rPr>
                <w:rFonts w:eastAsia="Times New Roman" w:cstheme="minorHAnsi"/>
                <w:lang w:val="fr-FR" w:eastAsia="fr-FR"/>
              </w:rPr>
              <w:t>Cette activité permet aussi de réduire le nombre de têtes de bétail en se concentrant sur un nombre réduit d’animaux, qui, mieux nourris, sont aussi en meilleure santé et se revendent donc plus cher au marché. Indirectement, cette activité</w:t>
            </w:r>
            <w:r w:rsidR="00B3435E">
              <w:rPr>
                <w:rFonts w:eastAsia="Times New Roman" w:cstheme="minorHAnsi"/>
                <w:lang w:val="fr-FR" w:eastAsia="fr-FR"/>
              </w:rPr>
              <w:t xml:space="preserve"> </w:t>
            </w:r>
            <w:r>
              <w:rPr>
                <w:rFonts w:eastAsia="Times New Roman" w:cstheme="minorHAnsi"/>
                <w:lang w:val="fr-FR" w:eastAsia="fr-FR"/>
              </w:rPr>
              <w:t>contribue donc à réduire la pression sur les ressources naturelles et à encourager leur protection.</w:t>
            </w:r>
          </w:p>
          <w:p w14:paraId="4C6B0D8F" w14:textId="6E075FBE" w:rsidR="00722194" w:rsidRPr="00507075" w:rsidRDefault="00B3435E" w:rsidP="00CC79B0">
            <w:pPr>
              <w:pStyle w:val="Composante"/>
            </w:pPr>
            <w:r w:rsidRPr="00507075">
              <w:t>COMPOSANTE 4. GESTION DES CONNAISSANCES, SUIVI ET EVALUATION ET INTEGRATION DES QUESTIONS DE PARITE HOMMES-FEMMES.</w:t>
            </w:r>
          </w:p>
          <w:p w14:paraId="352C72AB" w14:textId="32DE0808" w:rsidR="00EC5C1E" w:rsidRDefault="00722194" w:rsidP="00722194">
            <w:pPr>
              <w:pStyle w:val="Sansinterligne"/>
              <w:spacing w:before="120" w:after="120"/>
              <w:jc w:val="both"/>
              <w:rPr>
                <w:rFonts w:eastAsia="Times New Roman" w:cstheme="minorHAnsi"/>
                <w:lang w:val="fr-FR" w:eastAsia="fr-FR"/>
              </w:rPr>
            </w:pPr>
            <w:r w:rsidRPr="00507075">
              <w:rPr>
                <w:rFonts w:eastAsia="Times New Roman" w:cstheme="minorHAnsi"/>
                <w:lang w:val="fr-FR" w:eastAsia="fr-FR"/>
              </w:rPr>
              <w:t>L’équipe du projet a participé à la deuxième session du comité national de pilotage du projet le 23 février au Centre de Formation Pratique Forestier de Tabakoro</w:t>
            </w:r>
            <w:r w:rsidR="00CC79B0">
              <w:rPr>
                <w:rFonts w:eastAsia="Times New Roman" w:cstheme="minorHAnsi"/>
                <w:lang w:val="fr-FR" w:eastAsia="fr-FR"/>
              </w:rPr>
              <w:t>.</w:t>
            </w:r>
          </w:p>
          <w:p w14:paraId="391E0CA5" w14:textId="30904952" w:rsidR="00845423" w:rsidRPr="00CC79B0" w:rsidRDefault="00B3435E" w:rsidP="00CC79B0">
            <w:pPr>
              <w:pStyle w:val="Composante"/>
            </w:pPr>
            <w:r w:rsidRPr="00CC79B0">
              <w:t xml:space="preserve">AUTRES ACTIVITES REALISEES DANS LE CADRE </w:t>
            </w:r>
            <w:r w:rsidR="00CC79B0" w:rsidRPr="00CC79B0">
              <w:t>DU PROJET</w:t>
            </w:r>
            <w:r w:rsidRPr="00CC79B0">
              <w:t> </w:t>
            </w:r>
          </w:p>
          <w:p w14:paraId="50D7EF68" w14:textId="791AB9BA" w:rsidR="00845423" w:rsidRPr="00CC79B0" w:rsidRDefault="00CC79B0" w:rsidP="00CC79B0">
            <w:pPr>
              <w:pStyle w:val="Sansinterligne"/>
              <w:spacing w:before="120" w:after="120"/>
              <w:contextualSpacing/>
              <w:jc w:val="both"/>
              <w:rPr>
                <w:rStyle w:val="Accentuationlgre"/>
              </w:rPr>
            </w:pPr>
            <w:r>
              <w:rPr>
                <w:rStyle w:val="Accentuationlgre"/>
              </w:rPr>
              <w:t xml:space="preserve">- </w:t>
            </w:r>
            <w:r w:rsidRPr="00CC79B0">
              <w:rPr>
                <w:rStyle w:val="Accentuationlgre"/>
              </w:rPr>
              <w:t>Mission d’audit (</w:t>
            </w:r>
            <w:r w:rsidR="00845423" w:rsidRPr="00CC79B0">
              <w:rPr>
                <w:rStyle w:val="Accentuationlgre"/>
              </w:rPr>
              <w:t>Micro-évaluation</w:t>
            </w:r>
            <w:r w:rsidRPr="00CC79B0">
              <w:rPr>
                <w:rStyle w:val="Accentuationlgre"/>
              </w:rPr>
              <w:t>)</w:t>
            </w:r>
          </w:p>
          <w:p w14:paraId="0F8C6323" w14:textId="0BCB2802" w:rsidR="00B26784" w:rsidRPr="00CC79B0" w:rsidRDefault="00845423" w:rsidP="00CC79B0">
            <w:pPr>
              <w:pStyle w:val="Sansinterligne"/>
              <w:spacing w:before="120" w:after="120"/>
              <w:jc w:val="both"/>
              <w:rPr>
                <w:rFonts w:cstheme="minorHAnsi"/>
                <w:b/>
                <w:bCs/>
                <w:lang w:val="fr-FR"/>
              </w:rPr>
            </w:pPr>
            <w:r w:rsidRPr="00CC79B0">
              <w:rPr>
                <w:rFonts w:cs="Calibri"/>
                <w:color w:val="1D1D1D"/>
                <w:lang w:val="fr-FR"/>
              </w:rPr>
              <w:t xml:space="preserve">Une </w:t>
            </w:r>
            <w:r w:rsidR="00CC79B0">
              <w:rPr>
                <w:rFonts w:cs="Calibri"/>
                <w:color w:val="1D1D1D"/>
                <w:lang w:val="fr-FR"/>
              </w:rPr>
              <w:t>mission d’audit</w:t>
            </w:r>
            <w:r w:rsidRPr="00CC79B0">
              <w:rPr>
                <w:rFonts w:cs="Calibri"/>
                <w:color w:val="1D1D1D"/>
                <w:lang w:val="fr-FR"/>
              </w:rPr>
              <w:t xml:space="preserve"> a été effectuée par le cabinet BDO UK en juillet</w:t>
            </w:r>
            <w:r w:rsidR="00CC79B0">
              <w:rPr>
                <w:rFonts w:cs="Calibri"/>
                <w:color w:val="1D1D1D"/>
                <w:lang w:val="fr-FR"/>
              </w:rPr>
              <w:t xml:space="preserve"> 2022</w:t>
            </w:r>
            <w:r w:rsidRPr="00CC79B0">
              <w:rPr>
                <w:rFonts w:cs="Calibri"/>
                <w:color w:val="1D1D1D"/>
                <w:lang w:val="fr-FR"/>
              </w:rPr>
              <w:t xml:space="preserve">. À cette occasion, trois (3) membres de l’équipe de terrain ont séjourné </w:t>
            </w:r>
            <w:r w:rsidR="00CC79B0">
              <w:rPr>
                <w:rFonts w:cs="Calibri"/>
                <w:color w:val="1D1D1D"/>
                <w:lang w:val="fr-FR"/>
              </w:rPr>
              <w:t>à</w:t>
            </w:r>
            <w:r w:rsidRPr="00CC79B0">
              <w:rPr>
                <w:rFonts w:cs="Calibri"/>
                <w:color w:val="1D1D1D"/>
                <w:lang w:val="fr-FR"/>
              </w:rPr>
              <w:t xml:space="preserve"> Bamako pour travailler avec les auditeurs entre les 8 et 11 août.</w:t>
            </w:r>
          </w:p>
        </w:tc>
      </w:tr>
    </w:tbl>
    <w:p w14:paraId="074B7848" w14:textId="77777777" w:rsidR="00E7567B" w:rsidRPr="00AC20FF" w:rsidRDefault="00E7567B" w:rsidP="0070720F">
      <w:pPr>
        <w:rPr>
          <w:rFonts w:asciiTheme="minorHAnsi" w:hAnsiTheme="minorHAnsi" w:cstheme="minorHAnsi"/>
          <w:i/>
          <w:color w:val="000000"/>
          <w:lang w:val="fr-FR"/>
        </w:rPr>
      </w:pPr>
    </w:p>
    <w:p w14:paraId="710D28DE" w14:textId="579C7FEF" w:rsidR="00D1721E" w:rsidRPr="00AC20FF" w:rsidRDefault="00D1721E" w:rsidP="0070720F">
      <w:pPr>
        <w:rPr>
          <w:color w:val="000000"/>
          <w:lang w:val="fr-FR"/>
        </w:rPr>
        <w:sectPr w:rsidR="00D1721E" w:rsidRPr="00AC20FF" w:rsidSect="00D1721E">
          <w:pgSz w:w="15840" w:h="12240" w:orient="landscape"/>
          <w:pgMar w:top="1440" w:right="1440" w:bottom="1440" w:left="1440" w:header="706" w:footer="706" w:gutter="0"/>
          <w:cols w:space="708"/>
          <w:docGrid w:linePitch="360"/>
        </w:sectPr>
      </w:pPr>
    </w:p>
    <w:tbl>
      <w:tblPr>
        <w:tblW w:w="10283"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3"/>
      </w:tblGrid>
      <w:tr w:rsidR="00D1721E" w:rsidRPr="00B12AE6" w14:paraId="26AF29E2" w14:textId="77777777" w:rsidTr="00715FFF">
        <w:tc>
          <w:tcPr>
            <w:tcW w:w="10283" w:type="dxa"/>
            <w:shd w:val="clear" w:color="auto" w:fill="BDD6EE"/>
          </w:tcPr>
          <w:p w14:paraId="20E5B075" w14:textId="77777777" w:rsidR="00D1721E" w:rsidRPr="00135BB1" w:rsidRDefault="0067244C" w:rsidP="0015616F">
            <w:pPr>
              <w:numPr>
                <w:ilvl w:val="0"/>
                <w:numId w:val="2"/>
              </w:numPr>
              <w:suppressAutoHyphens/>
              <w:spacing w:after="120" w:line="240" w:lineRule="auto"/>
              <w:rPr>
                <w:b/>
                <w:bCs/>
                <w:sz w:val="24"/>
                <w:szCs w:val="24"/>
                <w:lang w:val="fr-FR"/>
              </w:rPr>
            </w:pPr>
            <w:r w:rsidRPr="00135BB1">
              <w:rPr>
                <w:rFonts w:cs="Times New Roman"/>
                <w:b/>
                <w:bCs/>
                <w:sz w:val="24"/>
                <w:szCs w:val="24"/>
                <w:lang w:val="fr-FR"/>
              </w:rPr>
              <w:lastRenderedPageBreak/>
              <w:t>Mécanismes de mise en œuvre, de suivi et d'évaluation</w:t>
            </w:r>
          </w:p>
        </w:tc>
      </w:tr>
      <w:tr w:rsidR="00D1721E" w:rsidRPr="00B12AE6" w14:paraId="2DCC3F95" w14:textId="77777777" w:rsidTr="00D1721E">
        <w:tc>
          <w:tcPr>
            <w:tcW w:w="10283" w:type="dxa"/>
            <w:shd w:val="clear" w:color="auto" w:fill="auto"/>
          </w:tcPr>
          <w:p w14:paraId="28E6917A" w14:textId="77777777" w:rsidR="0067244C" w:rsidRPr="00135BB1" w:rsidRDefault="0067244C" w:rsidP="0067244C">
            <w:pPr>
              <w:suppressAutoHyphens/>
              <w:spacing w:after="0" w:line="240" w:lineRule="auto"/>
              <w:jc w:val="both"/>
              <w:rPr>
                <w:i/>
                <w:iCs/>
                <w:lang w:val="fr-FR"/>
              </w:rPr>
            </w:pPr>
            <w:r w:rsidRPr="00135BB1">
              <w:rPr>
                <w:i/>
                <w:iCs/>
                <w:lang w:val="fr-FR"/>
              </w:rPr>
              <w:t>Décrivez les mesures prises pour assurer un suivi et une évaluation continus de la mise en œuvre des résultats du projet (mécanismes informels et formels)</w:t>
            </w:r>
          </w:p>
          <w:p w14:paraId="3067CF03" w14:textId="77777777" w:rsidR="00C611C2" w:rsidRPr="00135BB1" w:rsidRDefault="00C611C2" w:rsidP="0067244C">
            <w:pPr>
              <w:suppressAutoHyphens/>
              <w:spacing w:after="0" w:line="240" w:lineRule="auto"/>
              <w:jc w:val="both"/>
              <w:rPr>
                <w:i/>
                <w:iCs/>
                <w:lang w:val="fr-FR"/>
              </w:rPr>
            </w:pPr>
          </w:p>
          <w:p w14:paraId="39DF3F3C" w14:textId="66991E20" w:rsidR="00F231E1" w:rsidRPr="00BB11E0" w:rsidRDefault="00F231E1" w:rsidP="001064FF">
            <w:pPr>
              <w:suppressAutoHyphens/>
              <w:spacing w:after="120"/>
              <w:jc w:val="both"/>
              <w:rPr>
                <w:rFonts w:asciiTheme="minorHAnsi" w:hAnsiTheme="minorHAnsi" w:cstheme="minorHAnsi"/>
                <w:lang w:val="fr-FR"/>
              </w:rPr>
            </w:pPr>
            <w:r w:rsidRPr="00BB11E0">
              <w:rPr>
                <w:rFonts w:asciiTheme="minorHAnsi" w:hAnsiTheme="minorHAnsi" w:cstheme="minorHAnsi"/>
                <w:lang w:val="fr-FR"/>
              </w:rPr>
              <w:t xml:space="preserve">Sur le terrain, </w:t>
            </w:r>
            <w:r w:rsidR="00262962" w:rsidRPr="00BB11E0">
              <w:rPr>
                <w:rFonts w:asciiTheme="minorHAnsi" w:hAnsiTheme="minorHAnsi" w:cstheme="minorHAnsi"/>
                <w:lang w:val="fr-FR"/>
              </w:rPr>
              <w:t>l</w:t>
            </w:r>
            <w:r w:rsidR="00F10348" w:rsidRPr="00BB11E0">
              <w:rPr>
                <w:rFonts w:asciiTheme="minorHAnsi" w:hAnsiTheme="minorHAnsi" w:cstheme="minorHAnsi"/>
                <w:lang w:val="fr-FR"/>
              </w:rPr>
              <w:t xml:space="preserve">es activités communautaires sont documentées par les animateurs du projet et les </w:t>
            </w:r>
            <w:r w:rsidR="00753260" w:rsidRPr="00BB11E0">
              <w:rPr>
                <w:rFonts w:asciiTheme="minorHAnsi" w:hAnsiTheme="minorHAnsi" w:cstheme="minorHAnsi"/>
                <w:lang w:val="fr-FR"/>
              </w:rPr>
              <w:t>écogardes</w:t>
            </w:r>
            <w:r w:rsidR="00F10348" w:rsidRPr="00BB11E0">
              <w:rPr>
                <w:rFonts w:asciiTheme="minorHAnsi" w:hAnsiTheme="minorHAnsi" w:cstheme="minorHAnsi"/>
                <w:lang w:val="fr-FR"/>
              </w:rPr>
              <w:t xml:space="preserve"> communautaires avec lesquels le projet est en contact régulier. </w:t>
            </w:r>
            <w:r w:rsidR="004359F5" w:rsidRPr="00BB11E0">
              <w:rPr>
                <w:rFonts w:asciiTheme="minorHAnsi" w:hAnsiTheme="minorHAnsi" w:cstheme="minorHAnsi"/>
                <w:lang w:val="fr-FR"/>
              </w:rPr>
              <w:t xml:space="preserve">Ceux-ci rapportent également les données </w:t>
            </w:r>
            <w:r w:rsidR="00753260" w:rsidRPr="00BB11E0">
              <w:rPr>
                <w:rFonts w:asciiTheme="minorHAnsi" w:hAnsiTheme="minorHAnsi" w:cstheme="minorHAnsi"/>
                <w:lang w:val="fr-FR"/>
              </w:rPr>
              <w:t>relatives</w:t>
            </w:r>
            <w:r w:rsidR="004359F5" w:rsidRPr="00BB11E0">
              <w:rPr>
                <w:rFonts w:asciiTheme="minorHAnsi" w:hAnsiTheme="minorHAnsi" w:cstheme="minorHAnsi"/>
                <w:lang w:val="fr-FR"/>
              </w:rPr>
              <w:t xml:space="preserve"> aux éléphants telles que cas de braconnage, HEC, </w:t>
            </w:r>
            <w:r w:rsidR="00753260" w:rsidRPr="00BB11E0">
              <w:rPr>
                <w:rFonts w:asciiTheme="minorHAnsi" w:hAnsiTheme="minorHAnsi" w:cstheme="minorHAnsi"/>
                <w:lang w:val="fr-FR"/>
              </w:rPr>
              <w:t>visuels</w:t>
            </w:r>
            <w:r w:rsidR="004359F5" w:rsidRPr="00BB11E0">
              <w:rPr>
                <w:rFonts w:asciiTheme="minorHAnsi" w:hAnsiTheme="minorHAnsi" w:cstheme="minorHAnsi"/>
                <w:lang w:val="fr-FR"/>
              </w:rPr>
              <w:t xml:space="preserve">. </w:t>
            </w:r>
            <w:r w:rsidR="00F10348" w:rsidRPr="00BB11E0">
              <w:rPr>
                <w:rFonts w:asciiTheme="minorHAnsi" w:hAnsiTheme="minorHAnsi" w:cstheme="minorHAnsi"/>
                <w:lang w:val="fr-FR"/>
              </w:rPr>
              <w:t xml:space="preserve">Des rencontres mensuelles et trimestrielles sont organisées avec les animateurs et les </w:t>
            </w:r>
            <w:r w:rsidR="00753260" w:rsidRPr="00BB11E0">
              <w:rPr>
                <w:rFonts w:asciiTheme="minorHAnsi" w:hAnsiTheme="minorHAnsi" w:cstheme="minorHAnsi"/>
                <w:lang w:val="fr-FR"/>
              </w:rPr>
              <w:t>écogardes</w:t>
            </w:r>
            <w:r w:rsidR="00F10348" w:rsidRPr="00BB11E0">
              <w:rPr>
                <w:rFonts w:asciiTheme="minorHAnsi" w:hAnsiTheme="minorHAnsi" w:cstheme="minorHAnsi"/>
                <w:lang w:val="fr-FR"/>
              </w:rPr>
              <w:t xml:space="preserve"> pour faire le point des </w:t>
            </w:r>
            <w:r w:rsidR="00753260" w:rsidRPr="00BB11E0">
              <w:rPr>
                <w:rFonts w:asciiTheme="minorHAnsi" w:hAnsiTheme="minorHAnsi" w:cstheme="minorHAnsi"/>
                <w:lang w:val="fr-FR"/>
              </w:rPr>
              <w:t>activités</w:t>
            </w:r>
            <w:r w:rsidR="00F10348" w:rsidRPr="00BB11E0">
              <w:rPr>
                <w:rFonts w:asciiTheme="minorHAnsi" w:hAnsiTheme="minorHAnsi" w:cstheme="minorHAnsi"/>
                <w:lang w:val="fr-FR"/>
              </w:rPr>
              <w:t xml:space="preserve"> </w:t>
            </w:r>
            <w:r w:rsidR="00753260" w:rsidRPr="00BB11E0">
              <w:rPr>
                <w:rFonts w:asciiTheme="minorHAnsi" w:hAnsiTheme="minorHAnsi" w:cstheme="minorHAnsi"/>
                <w:lang w:val="fr-FR"/>
              </w:rPr>
              <w:t>réalisées</w:t>
            </w:r>
            <w:r w:rsidR="00F10348" w:rsidRPr="00BB11E0">
              <w:rPr>
                <w:rFonts w:asciiTheme="minorHAnsi" w:hAnsiTheme="minorHAnsi" w:cstheme="minorHAnsi"/>
                <w:lang w:val="fr-FR"/>
              </w:rPr>
              <w:t xml:space="preserve"> et s’assurer que les </w:t>
            </w:r>
            <w:r w:rsidR="00753260" w:rsidRPr="00BB11E0">
              <w:rPr>
                <w:rFonts w:asciiTheme="minorHAnsi" w:hAnsiTheme="minorHAnsi" w:cstheme="minorHAnsi"/>
                <w:lang w:val="fr-FR"/>
              </w:rPr>
              <w:t>données</w:t>
            </w:r>
            <w:r w:rsidR="00F10348" w:rsidRPr="00BB11E0">
              <w:rPr>
                <w:rFonts w:asciiTheme="minorHAnsi" w:hAnsiTheme="minorHAnsi" w:cstheme="minorHAnsi"/>
                <w:lang w:val="fr-FR"/>
              </w:rPr>
              <w:t xml:space="preserve"> sont bien </w:t>
            </w:r>
            <w:r w:rsidR="00753260" w:rsidRPr="00BB11E0">
              <w:rPr>
                <w:rFonts w:asciiTheme="minorHAnsi" w:hAnsiTheme="minorHAnsi" w:cstheme="minorHAnsi"/>
                <w:lang w:val="fr-FR"/>
              </w:rPr>
              <w:t>collectées</w:t>
            </w:r>
            <w:r w:rsidR="00F10348" w:rsidRPr="00BB11E0">
              <w:rPr>
                <w:rFonts w:asciiTheme="minorHAnsi" w:hAnsiTheme="minorHAnsi" w:cstheme="minorHAnsi"/>
                <w:lang w:val="fr-FR"/>
              </w:rPr>
              <w:t xml:space="preserve">. Les animateurs </w:t>
            </w:r>
            <w:r w:rsidR="00DC6AE2">
              <w:rPr>
                <w:rFonts w:asciiTheme="minorHAnsi" w:hAnsiTheme="minorHAnsi" w:cstheme="minorHAnsi"/>
                <w:lang w:val="fr-FR"/>
              </w:rPr>
              <w:t xml:space="preserve">comme les écogardes </w:t>
            </w:r>
            <w:r w:rsidR="00F10348" w:rsidRPr="00BB11E0">
              <w:rPr>
                <w:rFonts w:asciiTheme="minorHAnsi" w:hAnsiTheme="minorHAnsi" w:cstheme="minorHAnsi"/>
                <w:lang w:val="fr-FR"/>
              </w:rPr>
              <w:t>bén</w:t>
            </w:r>
            <w:r w:rsidR="008E313C" w:rsidRPr="00BB11E0">
              <w:rPr>
                <w:rFonts w:asciiTheme="minorHAnsi" w:hAnsiTheme="minorHAnsi" w:cstheme="minorHAnsi"/>
                <w:lang w:val="fr-FR"/>
              </w:rPr>
              <w:t>é</w:t>
            </w:r>
            <w:r w:rsidR="00F10348" w:rsidRPr="00BB11E0">
              <w:rPr>
                <w:rFonts w:asciiTheme="minorHAnsi" w:hAnsiTheme="minorHAnsi" w:cstheme="minorHAnsi"/>
                <w:lang w:val="fr-FR"/>
              </w:rPr>
              <w:t xml:space="preserve">ficient par ailleurs de formations </w:t>
            </w:r>
            <w:r w:rsidR="00DC6AE2">
              <w:rPr>
                <w:rFonts w:asciiTheme="minorHAnsi" w:hAnsiTheme="minorHAnsi" w:cstheme="minorHAnsi"/>
                <w:lang w:val="fr-FR"/>
              </w:rPr>
              <w:t>pour les appuyer dans la mise en œuvre de leurs activités</w:t>
            </w:r>
            <w:r w:rsidR="008E313C" w:rsidRPr="00BB11E0">
              <w:rPr>
                <w:rFonts w:asciiTheme="minorHAnsi" w:hAnsiTheme="minorHAnsi" w:cstheme="minorHAnsi"/>
                <w:lang w:val="fr-FR"/>
              </w:rPr>
              <w:t>.</w:t>
            </w:r>
            <w:r w:rsidR="004359F5" w:rsidRPr="00BB11E0">
              <w:rPr>
                <w:rFonts w:asciiTheme="minorHAnsi" w:hAnsiTheme="minorHAnsi" w:cstheme="minorHAnsi"/>
                <w:lang w:val="fr-FR"/>
              </w:rPr>
              <w:t xml:space="preserve"> </w:t>
            </w:r>
          </w:p>
          <w:p w14:paraId="0630F201" w14:textId="07CB802B" w:rsidR="00081A3B" w:rsidRPr="00BB11E0" w:rsidRDefault="00262962" w:rsidP="001064FF">
            <w:pPr>
              <w:suppressAutoHyphens/>
              <w:spacing w:after="120"/>
              <w:jc w:val="both"/>
              <w:rPr>
                <w:rFonts w:asciiTheme="minorHAnsi" w:hAnsiTheme="minorHAnsi" w:cstheme="minorHAnsi"/>
                <w:lang w:val="fr-FR"/>
              </w:rPr>
            </w:pPr>
            <w:r w:rsidRPr="00BB11E0">
              <w:rPr>
                <w:rFonts w:asciiTheme="minorHAnsi" w:hAnsiTheme="minorHAnsi" w:cstheme="minorHAnsi"/>
                <w:lang w:val="fr-FR"/>
              </w:rPr>
              <w:t>Deux chargés suivi-évaluation</w:t>
            </w:r>
            <w:r w:rsidR="00DC6AE2">
              <w:rPr>
                <w:rFonts w:asciiTheme="minorHAnsi" w:hAnsiTheme="minorHAnsi" w:cstheme="minorHAnsi"/>
                <w:lang w:val="fr-FR"/>
              </w:rPr>
              <w:t xml:space="preserve"> (S/E), </w:t>
            </w:r>
            <w:r w:rsidRPr="00BB11E0">
              <w:rPr>
                <w:rFonts w:asciiTheme="minorHAnsi" w:hAnsiTheme="minorHAnsi" w:cstheme="minorHAnsi"/>
                <w:lang w:val="fr-FR"/>
              </w:rPr>
              <w:t xml:space="preserve">l’un au Mali, l’une au </w:t>
            </w:r>
            <w:r w:rsidR="00DC6AE2">
              <w:rPr>
                <w:rFonts w:asciiTheme="minorHAnsi" w:hAnsiTheme="minorHAnsi" w:cstheme="minorHAnsi"/>
                <w:lang w:val="fr-FR"/>
              </w:rPr>
              <w:t>Royaume-Uni,</w:t>
            </w:r>
            <w:r w:rsidRPr="00BB11E0">
              <w:rPr>
                <w:rFonts w:asciiTheme="minorHAnsi" w:hAnsiTheme="minorHAnsi" w:cstheme="minorHAnsi"/>
                <w:lang w:val="fr-FR"/>
              </w:rPr>
              <w:t xml:space="preserve"> sont chargés d’assurer le contrôle qualité des données, leur transmission et leur consolidation de part et d’autre. </w:t>
            </w:r>
            <w:r w:rsidR="00F231E1" w:rsidRPr="00BB11E0">
              <w:rPr>
                <w:rFonts w:asciiTheme="minorHAnsi" w:hAnsiTheme="minorHAnsi" w:cstheme="minorHAnsi"/>
                <w:lang w:val="fr-FR"/>
              </w:rPr>
              <w:t xml:space="preserve">Les données de terrain sont centralisées au niveau du </w:t>
            </w:r>
            <w:r w:rsidRPr="00BB11E0">
              <w:rPr>
                <w:rFonts w:asciiTheme="minorHAnsi" w:hAnsiTheme="minorHAnsi" w:cstheme="minorHAnsi"/>
                <w:lang w:val="fr-FR"/>
              </w:rPr>
              <w:t>c</w:t>
            </w:r>
            <w:r w:rsidR="00F231E1" w:rsidRPr="00BB11E0">
              <w:rPr>
                <w:rFonts w:asciiTheme="minorHAnsi" w:hAnsiTheme="minorHAnsi" w:cstheme="minorHAnsi"/>
                <w:lang w:val="fr-FR"/>
              </w:rPr>
              <w:t xml:space="preserve">hargé SE au Mali </w:t>
            </w:r>
            <w:r w:rsidR="00837A0C" w:rsidRPr="00BB11E0">
              <w:rPr>
                <w:rFonts w:asciiTheme="minorHAnsi" w:hAnsiTheme="minorHAnsi" w:cstheme="minorHAnsi"/>
                <w:lang w:val="fr-FR"/>
              </w:rPr>
              <w:t>où</w:t>
            </w:r>
            <w:r w:rsidR="00F231E1" w:rsidRPr="00BB11E0">
              <w:rPr>
                <w:rFonts w:asciiTheme="minorHAnsi" w:hAnsiTheme="minorHAnsi" w:cstheme="minorHAnsi"/>
                <w:lang w:val="fr-FR"/>
              </w:rPr>
              <w:t xml:space="preserve"> </w:t>
            </w:r>
            <w:r w:rsidRPr="00BB11E0">
              <w:rPr>
                <w:rFonts w:asciiTheme="minorHAnsi" w:hAnsiTheme="minorHAnsi" w:cstheme="minorHAnsi"/>
                <w:lang w:val="fr-FR"/>
              </w:rPr>
              <w:t>l</w:t>
            </w:r>
            <w:r w:rsidR="008E313C" w:rsidRPr="00BB11E0">
              <w:rPr>
                <w:rFonts w:asciiTheme="minorHAnsi" w:hAnsiTheme="minorHAnsi" w:cstheme="minorHAnsi"/>
                <w:lang w:val="fr-FR"/>
              </w:rPr>
              <w:t xml:space="preserve">es rapports </w:t>
            </w:r>
            <w:r w:rsidR="00081A3B" w:rsidRPr="00BB11E0">
              <w:rPr>
                <w:rFonts w:asciiTheme="minorHAnsi" w:hAnsiTheme="minorHAnsi" w:cstheme="minorHAnsi"/>
                <w:lang w:val="fr-FR"/>
              </w:rPr>
              <w:t>d’activités et rapports financiers</w:t>
            </w:r>
            <w:r w:rsidR="008E313C" w:rsidRPr="00BB11E0">
              <w:rPr>
                <w:rFonts w:asciiTheme="minorHAnsi" w:hAnsiTheme="minorHAnsi" w:cstheme="minorHAnsi"/>
                <w:lang w:val="fr-FR"/>
              </w:rPr>
              <w:t xml:space="preserve"> </w:t>
            </w:r>
            <w:r w:rsidR="00837A0C" w:rsidRPr="00BB11E0">
              <w:rPr>
                <w:rFonts w:asciiTheme="minorHAnsi" w:hAnsiTheme="minorHAnsi" w:cstheme="minorHAnsi"/>
                <w:lang w:val="fr-FR"/>
              </w:rPr>
              <w:t xml:space="preserve">sont </w:t>
            </w:r>
            <w:r w:rsidR="00081A3B" w:rsidRPr="00BB11E0">
              <w:rPr>
                <w:rFonts w:asciiTheme="minorHAnsi" w:hAnsiTheme="minorHAnsi" w:cstheme="minorHAnsi"/>
                <w:lang w:val="fr-FR"/>
              </w:rPr>
              <w:t xml:space="preserve">élaborés par l’équipe de terrain </w:t>
            </w:r>
            <w:r w:rsidR="008E313C" w:rsidRPr="00BB11E0">
              <w:rPr>
                <w:rFonts w:asciiTheme="minorHAnsi" w:hAnsiTheme="minorHAnsi" w:cstheme="minorHAnsi"/>
                <w:lang w:val="fr-FR"/>
              </w:rPr>
              <w:t>sur la base des données collecté</w:t>
            </w:r>
            <w:r w:rsidRPr="00BB11E0">
              <w:rPr>
                <w:rFonts w:asciiTheme="minorHAnsi" w:hAnsiTheme="minorHAnsi" w:cstheme="minorHAnsi"/>
                <w:lang w:val="fr-FR"/>
              </w:rPr>
              <w:t>e</w:t>
            </w:r>
            <w:r w:rsidR="008E313C" w:rsidRPr="00BB11E0">
              <w:rPr>
                <w:rFonts w:asciiTheme="minorHAnsi" w:hAnsiTheme="minorHAnsi" w:cstheme="minorHAnsi"/>
                <w:lang w:val="fr-FR"/>
              </w:rPr>
              <w:t>s</w:t>
            </w:r>
            <w:r w:rsidR="00837A0C" w:rsidRPr="00BB11E0">
              <w:rPr>
                <w:rFonts w:asciiTheme="minorHAnsi" w:hAnsiTheme="minorHAnsi" w:cstheme="minorHAnsi"/>
                <w:lang w:val="fr-FR"/>
              </w:rPr>
              <w:t>. Ceux-ci</w:t>
            </w:r>
            <w:r w:rsidR="004359F5" w:rsidRPr="00BB11E0">
              <w:rPr>
                <w:rFonts w:asciiTheme="minorHAnsi" w:hAnsiTheme="minorHAnsi" w:cstheme="minorHAnsi"/>
                <w:lang w:val="fr-FR"/>
              </w:rPr>
              <w:t xml:space="preserve"> </w:t>
            </w:r>
            <w:r w:rsidR="00081A3B" w:rsidRPr="00BB11E0">
              <w:rPr>
                <w:rFonts w:asciiTheme="minorHAnsi" w:hAnsiTheme="minorHAnsi" w:cstheme="minorHAnsi"/>
                <w:lang w:val="fr-FR"/>
              </w:rPr>
              <w:t>sont ensuite transmis à l’équipe basée au Royaume-Uni</w:t>
            </w:r>
            <w:r w:rsidR="00837A0C" w:rsidRPr="00BB11E0">
              <w:rPr>
                <w:rFonts w:asciiTheme="minorHAnsi" w:hAnsiTheme="minorHAnsi" w:cstheme="minorHAnsi"/>
                <w:lang w:val="fr-FR"/>
              </w:rPr>
              <w:t xml:space="preserve"> où la </w:t>
            </w:r>
            <w:r w:rsidRPr="00BB11E0">
              <w:rPr>
                <w:rFonts w:asciiTheme="minorHAnsi" w:hAnsiTheme="minorHAnsi" w:cstheme="minorHAnsi"/>
                <w:lang w:val="fr-FR"/>
              </w:rPr>
              <w:t>c</w:t>
            </w:r>
            <w:r w:rsidR="00837A0C" w:rsidRPr="00BB11E0">
              <w:rPr>
                <w:rFonts w:asciiTheme="minorHAnsi" w:hAnsiTheme="minorHAnsi" w:cstheme="minorHAnsi"/>
                <w:lang w:val="fr-FR"/>
              </w:rPr>
              <w:t>hargée SE consolide les informations</w:t>
            </w:r>
            <w:r w:rsidR="008A0031">
              <w:rPr>
                <w:rFonts w:asciiTheme="minorHAnsi" w:hAnsiTheme="minorHAnsi" w:cstheme="minorHAnsi"/>
                <w:lang w:val="fr-FR"/>
              </w:rPr>
              <w:t xml:space="preserve"> dans des </w:t>
            </w:r>
            <w:r w:rsidR="00837A0C" w:rsidRPr="00BB11E0">
              <w:rPr>
                <w:rFonts w:asciiTheme="minorHAnsi" w:hAnsiTheme="minorHAnsi" w:cstheme="minorHAnsi"/>
                <w:lang w:val="fr-FR"/>
              </w:rPr>
              <w:t xml:space="preserve">bases de données (HEC, braconnage, etc.). </w:t>
            </w:r>
            <w:r w:rsidRPr="00BB11E0">
              <w:rPr>
                <w:rFonts w:asciiTheme="minorHAnsi" w:hAnsiTheme="minorHAnsi" w:cstheme="minorHAnsi"/>
                <w:lang w:val="fr-FR"/>
              </w:rPr>
              <w:t>De manière générale, l</w:t>
            </w:r>
            <w:r w:rsidR="00837A0C" w:rsidRPr="00BB11E0">
              <w:rPr>
                <w:rFonts w:asciiTheme="minorHAnsi" w:hAnsiTheme="minorHAnsi" w:cstheme="minorHAnsi"/>
                <w:lang w:val="fr-FR"/>
              </w:rPr>
              <w:t>’équipe du RU est charg</w:t>
            </w:r>
            <w:r w:rsidRPr="00BB11E0">
              <w:rPr>
                <w:rFonts w:asciiTheme="minorHAnsi" w:hAnsiTheme="minorHAnsi" w:cstheme="minorHAnsi"/>
                <w:lang w:val="fr-FR"/>
              </w:rPr>
              <w:t>ée</w:t>
            </w:r>
            <w:r w:rsidR="00837A0C" w:rsidRPr="00BB11E0">
              <w:rPr>
                <w:rFonts w:asciiTheme="minorHAnsi" w:hAnsiTheme="minorHAnsi" w:cstheme="minorHAnsi"/>
                <w:lang w:val="fr-FR"/>
              </w:rPr>
              <w:t xml:space="preserve"> de communiquer</w:t>
            </w:r>
            <w:r w:rsidR="00081A3B" w:rsidRPr="00BB11E0">
              <w:rPr>
                <w:rFonts w:asciiTheme="minorHAnsi" w:hAnsiTheme="minorHAnsi" w:cstheme="minorHAnsi"/>
                <w:lang w:val="fr-FR"/>
              </w:rPr>
              <w:t xml:space="preserve"> les résultats aux partenaires extérieurs</w:t>
            </w:r>
            <w:r w:rsidRPr="00BB11E0">
              <w:rPr>
                <w:rFonts w:asciiTheme="minorHAnsi" w:hAnsiTheme="minorHAnsi" w:cstheme="minorHAnsi"/>
                <w:lang w:val="fr-FR"/>
              </w:rPr>
              <w:t xml:space="preserve"> internationaux</w:t>
            </w:r>
            <w:r w:rsidR="008A0031">
              <w:rPr>
                <w:rFonts w:asciiTheme="minorHAnsi" w:hAnsiTheme="minorHAnsi" w:cstheme="minorHAnsi"/>
                <w:lang w:val="fr-FR"/>
              </w:rPr>
              <w:t>.</w:t>
            </w:r>
          </w:p>
          <w:p w14:paraId="7B51A548" w14:textId="45652A8C" w:rsidR="000C2EB9" w:rsidRDefault="000C2EB9" w:rsidP="001064FF">
            <w:pPr>
              <w:suppressAutoHyphens/>
              <w:spacing w:after="120"/>
              <w:jc w:val="both"/>
              <w:rPr>
                <w:rFonts w:asciiTheme="minorHAnsi" w:hAnsiTheme="minorHAnsi" w:cstheme="minorHAnsi"/>
                <w:lang w:val="fr-FR"/>
              </w:rPr>
            </w:pPr>
            <w:r w:rsidRPr="00BB11E0">
              <w:rPr>
                <w:rFonts w:asciiTheme="minorHAnsi" w:hAnsiTheme="minorHAnsi" w:cstheme="minorHAnsi"/>
                <w:lang w:val="fr-FR"/>
              </w:rPr>
              <w:t xml:space="preserve">La Directrice du PEM, basée au Royaume-Uni, et le Chef de Terrain, basé au Mali, sont en contact quotidien. Ces </w:t>
            </w:r>
            <w:r w:rsidR="00753260" w:rsidRPr="00BB11E0">
              <w:rPr>
                <w:rFonts w:asciiTheme="minorHAnsi" w:hAnsiTheme="minorHAnsi" w:cstheme="minorHAnsi"/>
                <w:lang w:val="fr-FR"/>
              </w:rPr>
              <w:t>échanges</w:t>
            </w:r>
            <w:r w:rsidRPr="00BB11E0">
              <w:rPr>
                <w:rFonts w:asciiTheme="minorHAnsi" w:hAnsiTheme="minorHAnsi" w:cstheme="minorHAnsi"/>
                <w:lang w:val="fr-FR"/>
              </w:rPr>
              <w:t xml:space="preserve"> fournissent un </w:t>
            </w:r>
            <w:r w:rsidR="00DC6AE2">
              <w:rPr>
                <w:rFonts w:asciiTheme="minorHAnsi" w:hAnsiTheme="minorHAnsi" w:cstheme="minorHAnsi"/>
                <w:lang w:val="fr-FR"/>
              </w:rPr>
              <w:t>S/E</w:t>
            </w:r>
            <w:r w:rsidRPr="00BB11E0">
              <w:rPr>
                <w:rFonts w:asciiTheme="minorHAnsi" w:hAnsiTheme="minorHAnsi" w:cstheme="minorHAnsi"/>
                <w:lang w:val="fr-FR"/>
              </w:rPr>
              <w:t xml:space="preserve"> continu de la situation globale (évolution des activités et du conte</w:t>
            </w:r>
            <w:r w:rsidR="00EE6875" w:rsidRPr="00BB11E0">
              <w:rPr>
                <w:rFonts w:asciiTheme="minorHAnsi" w:hAnsiTheme="minorHAnsi" w:cstheme="minorHAnsi"/>
                <w:lang w:val="fr-FR"/>
              </w:rPr>
              <w:t>x</w:t>
            </w:r>
            <w:r w:rsidRPr="00BB11E0">
              <w:rPr>
                <w:rFonts w:asciiTheme="minorHAnsi" w:hAnsiTheme="minorHAnsi" w:cstheme="minorHAnsi"/>
                <w:lang w:val="fr-FR"/>
              </w:rPr>
              <w:t>te sécuritaire notamment) qui permet d’orienter la marche</w:t>
            </w:r>
            <w:r w:rsidR="00753260" w:rsidRPr="00BB11E0">
              <w:rPr>
                <w:rFonts w:asciiTheme="minorHAnsi" w:hAnsiTheme="minorHAnsi" w:cstheme="minorHAnsi"/>
                <w:lang w:val="fr-FR"/>
              </w:rPr>
              <w:t xml:space="preserve"> à suivre</w:t>
            </w:r>
            <w:r w:rsidRPr="00BB11E0">
              <w:rPr>
                <w:rFonts w:asciiTheme="minorHAnsi" w:hAnsiTheme="minorHAnsi" w:cstheme="minorHAnsi"/>
                <w:lang w:val="fr-FR"/>
              </w:rPr>
              <w:t xml:space="preserve"> </w:t>
            </w:r>
            <w:r w:rsidR="00EE6875" w:rsidRPr="00BB11E0">
              <w:rPr>
                <w:rFonts w:asciiTheme="minorHAnsi" w:hAnsiTheme="minorHAnsi" w:cstheme="minorHAnsi"/>
                <w:lang w:val="fr-FR"/>
              </w:rPr>
              <w:t>en s’</w:t>
            </w:r>
            <w:r w:rsidR="00753260" w:rsidRPr="00BB11E0">
              <w:rPr>
                <w:rFonts w:asciiTheme="minorHAnsi" w:hAnsiTheme="minorHAnsi" w:cstheme="minorHAnsi"/>
                <w:lang w:val="fr-FR"/>
              </w:rPr>
              <w:t>adaptant</w:t>
            </w:r>
            <w:r w:rsidR="00EE6875" w:rsidRPr="00BB11E0">
              <w:rPr>
                <w:rFonts w:asciiTheme="minorHAnsi" w:hAnsiTheme="minorHAnsi" w:cstheme="minorHAnsi"/>
                <w:lang w:val="fr-FR"/>
              </w:rPr>
              <w:t xml:space="preserve"> au contexte</w:t>
            </w:r>
            <w:r w:rsidRPr="00BB11E0">
              <w:rPr>
                <w:rFonts w:asciiTheme="minorHAnsi" w:hAnsiTheme="minorHAnsi" w:cstheme="minorHAnsi"/>
                <w:lang w:val="fr-FR"/>
              </w:rPr>
              <w:t>.</w:t>
            </w:r>
          </w:p>
          <w:p w14:paraId="551E0E4E" w14:textId="7FF2F045" w:rsidR="00756520" w:rsidRPr="00BB11E0" w:rsidRDefault="00756520" w:rsidP="001064FF">
            <w:pPr>
              <w:suppressAutoHyphens/>
              <w:spacing w:after="120"/>
              <w:jc w:val="both"/>
              <w:rPr>
                <w:rFonts w:asciiTheme="minorHAnsi" w:hAnsiTheme="minorHAnsi" w:cstheme="minorHAnsi"/>
                <w:lang w:val="fr-FR"/>
              </w:rPr>
            </w:pPr>
            <w:r>
              <w:rPr>
                <w:rFonts w:asciiTheme="minorHAnsi" w:hAnsiTheme="minorHAnsi" w:cstheme="minorHAnsi"/>
                <w:lang w:val="fr-FR"/>
              </w:rPr>
              <w:t xml:space="preserve">Un Responsable Administratif et Financier recruté au mois de novembre et basé à Bamako est venu renforcer l’équipe du projet. </w:t>
            </w:r>
          </w:p>
          <w:p w14:paraId="063EAF00" w14:textId="77777777" w:rsidR="004359F5" w:rsidRPr="00135BB1" w:rsidRDefault="004359F5" w:rsidP="004359F5">
            <w:pPr>
              <w:suppressAutoHyphens/>
              <w:spacing w:after="0" w:line="240" w:lineRule="auto"/>
              <w:jc w:val="both"/>
              <w:rPr>
                <w:rFonts w:cs="Calibri"/>
                <w:lang w:val="fr-FR"/>
              </w:rPr>
            </w:pPr>
          </w:p>
        </w:tc>
      </w:tr>
    </w:tbl>
    <w:p w14:paraId="0FB013E5" w14:textId="77777777" w:rsidR="0067244C" w:rsidRPr="00135BB1" w:rsidRDefault="0067244C">
      <w:pPr>
        <w:rPr>
          <w:lang w:val="fr-FR"/>
        </w:rPr>
      </w:pPr>
    </w:p>
    <w:tbl>
      <w:tblPr>
        <w:tblW w:w="10283"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3"/>
      </w:tblGrid>
      <w:tr w:rsidR="0067244C" w:rsidRPr="00135BB1" w14:paraId="715B1953" w14:textId="77777777" w:rsidTr="00775D22">
        <w:tc>
          <w:tcPr>
            <w:tcW w:w="10283" w:type="dxa"/>
            <w:tcBorders>
              <w:top w:val="single" w:sz="4" w:space="0" w:color="auto"/>
              <w:left w:val="single" w:sz="4" w:space="0" w:color="auto"/>
              <w:bottom w:val="single" w:sz="4" w:space="0" w:color="auto"/>
              <w:right w:val="single" w:sz="4" w:space="0" w:color="auto"/>
            </w:tcBorders>
            <w:shd w:val="clear" w:color="auto" w:fill="BDD6EE"/>
          </w:tcPr>
          <w:p w14:paraId="70F7E6B8" w14:textId="77777777" w:rsidR="0067244C" w:rsidRPr="00135BB1" w:rsidRDefault="0067244C" w:rsidP="0015616F">
            <w:pPr>
              <w:numPr>
                <w:ilvl w:val="0"/>
                <w:numId w:val="2"/>
              </w:numPr>
              <w:suppressAutoHyphens/>
              <w:spacing w:after="120" w:line="240" w:lineRule="auto"/>
              <w:rPr>
                <w:rFonts w:cs="Times New Roman"/>
                <w:lang w:val="fr-FR"/>
              </w:rPr>
            </w:pPr>
            <w:r w:rsidRPr="00135BB1">
              <w:rPr>
                <w:rFonts w:cs="Times New Roman"/>
                <w:b/>
                <w:bCs/>
                <w:sz w:val="24"/>
                <w:szCs w:val="24"/>
                <w:shd w:val="clear" w:color="auto" w:fill="BDD6EE"/>
                <w:lang w:val="fr-FR"/>
              </w:rPr>
              <w:t>Genre</w:t>
            </w:r>
            <w:r w:rsidR="00C51729" w:rsidRPr="00135BB1">
              <w:rPr>
                <w:rFonts w:cs="Times New Roman"/>
                <w:b/>
                <w:bCs/>
                <w:sz w:val="24"/>
                <w:szCs w:val="24"/>
                <w:shd w:val="clear" w:color="auto" w:fill="BDD6EE"/>
                <w:lang w:val="fr-FR"/>
              </w:rPr>
              <w:t xml:space="preserve"> et</w:t>
            </w:r>
            <w:r w:rsidRPr="00135BB1">
              <w:rPr>
                <w:rFonts w:cs="Times New Roman"/>
                <w:b/>
                <w:bCs/>
                <w:sz w:val="24"/>
                <w:szCs w:val="24"/>
                <w:shd w:val="clear" w:color="auto" w:fill="BDD6EE"/>
                <w:lang w:val="fr-FR"/>
              </w:rPr>
              <w:t xml:space="preserve"> équité </w:t>
            </w:r>
          </w:p>
        </w:tc>
      </w:tr>
      <w:tr w:rsidR="0067244C" w:rsidRPr="00B12AE6" w14:paraId="1F4DC1F5" w14:textId="77777777" w:rsidTr="0067244C">
        <w:tc>
          <w:tcPr>
            <w:tcW w:w="10283" w:type="dxa"/>
            <w:tcBorders>
              <w:top w:val="single" w:sz="4" w:space="0" w:color="auto"/>
              <w:left w:val="single" w:sz="4" w:space="0" w:color="auto"/>
              <w:bottom w:val="single" w:sz="4" w:space="0" w:color="auto"/>
              <w:right w:val="single" w:sz="4" w:space="0" w:color="auto"/>
            </w:tcBorders>
            <w:shd w:val="clear" w:color="auto" w:fill="auto"/>
          </w:tcPr>
          <w:p w14:paraId="4EE7885A" w14:textId="77777777" w:rsidR="0067244C" w:rsidRPr="00135BB1" w:rsidRDefault="0062011C" w:rsidP="00775D22">
            <w:pPr>
              <w:pStyle w:val="Paragraphedeliste"/>
              <w:spacing w:after="0" w:line="240" w:lineRule="auto"/>
              <w:ind w:left="0"/>
              <w:rPr>
                <w:rFonts w:cs="Times New Roman"/>
                <w:i/>
                <w:lang w:val="fr-FR"/>
              </w:rPr>
            </w:pPr>
            <w:r w:rsidRPr="00135BB1">
              <w:rPr>
                <w:rFonts w:cs="Times New Roman"/>
                <w:i/>
                <w:lang w:val="fr-FR"/>
              </w:rPr>
              <w:t>Comment ce programme prend-il continuellement en compte le genre et l'équité. Le genre est ici entendu à la fois comme une composante transversale et comme une composante indépendante qui sert à augmenter les effets multiplicateurs du programme.</w:t>
            </w:r>
          </w:p>
          <w:p w14:paraId="2366C0A2" w14:textId="77777777" w:rsidR="0067244C" w:rsidRPr="00135BB1" w:rsidRDefault="0067244C" w:rsidP="00775D22">
            <w:pPr>
              <w:pStyle w:val="Paragraphedeliste"/>
              <w:spacing w:after="0" w:line="240" w:lineRule="auto"/>
              <w:ind w:left="0"/>
              <w:rPr>
                <w:rFonts w:cs="Times New Roman"/>
                <w:i/>
                <w:lang w:val="fr-FR"/>
              </w:rPr>
            </w:pPr>
          </w:p>
          <w:p w14:paraId="12FD948A" w14:textId="5E037242" w:rsidR="000C6648" w:rsidRDefault="00C13521" w:rsidP="001064FF">
            <w:pPr>
              <w:suppressAutoHyphens/>
              <w:spacing w:after="120"/>
              <w:jc w:val="both"/>
              <w:rPr>
                <w:rFonts w:asciiTheme="minorHAnsi" w:hAnsiTheme="minorHAnsi" w:cstheme="minorHAnsi"/>
                <w:lang w:val="fr-FR"/>
              </w:rPr>
            </w:pPr>
            <w:r w:rsidRPr="008A0031">
              <w:rPr>
                <w:rFonts w:asciiTheme="minorHAnsi" w:hAnsiTheme="minorHAnsi" w:cstheme="minorHAnsi"/>
                <w:lang w:val="fr-FR"/>
              </w:rPr>
              <w:t xml:space="preserve">La stratégie </w:t>
            </w:r>
            <w:r w:rsidR="005A1341" w:rsidRPr="008A0031">
              <w:rPr>
                <w:rFonts w:asciiTheme="minorHAnsi" w:hAnsiTheme="minorHAnsi" w:cstheme="minorHAnsi"/>
                <w:lang w:val="fr-FR"/>
              </w:rPr>
              <w:t xml:space="preserve">d’engagement communautaire </w:t>
            </w:r>
            <w:r w:rsidRPr="008A0031">
              <w:rPr>
                <w:rFonts w:asciiTheme="minorHAnsi" w:hAnsiTheme="minorHAnsi" w:cstheme="minorHAnsi"/>
                <w:lang w:val="fr-FR"/>
              </w:rPr>
              <w:t>du projet</w:t>
            </w:r>
            <w:r w:rsidR="00AC606A" w:rsidRPr="008A0031">
              <w:rPr>
                <w:rFonts w:asciiTheme="minorHAnsi" w:hAnsiTheme="minorHAnsi" w:cstheme="minorHAnsi"/>
                <w:lang w:val="fr-FR"/>
              </w:rPr>
              <w:t xml:space="preserve"> </w:t>
            </w:r>
            <w:r w:rsidR="005A1341" w:rsidRPr="008A0031">
              <w:rPr>
                <w:rFonts w:asciiTheme="minorHAnsi" w:hAnsiTheme="minorHAnsi" w:cstheme="minorHAnsi"/>
                <w:lang w:val="fr-FR"/>
              </w:rPr>
              <w:t>vise à inclure tou</w:t>
            </w:r>
            <w:r w:rsidR="002010E8">
              <w:rPr>
                <w:rFonts w:asciiTheme="minorHAnsi" w:hAnsiTheme="minorHAnsi" w:cstheme="minorHAnsi"/>
                <w:lang w:val="fr-FR"/>
              </w:rPr>
              <w:t xml:space="preserve">tes les </w:t>
            </w:r>
            <w:r w:rsidR="005A1341" w:rsidRPr="008A0031">
              <w:rPr>
                <w:rFonts w:asciiTheme="minorHAnsi" w:hAnsiTheme="minorHAnsi" w:cstheme="minorHAnsi"/>
                <w:lang w:val="fr-FR"/>
              </w:rPr>
              <w:t>parties intéressées</w:t>
            </w:r>
            <w:r w:rsidR="002010E8">
              <w:rPr>
                <w:rFonts w:asciiTheme="minorHAnsi" w:hAnsiTheme="minorHAnsi" w:cstheme="minorHAnsi"/>
                <w:lang w:val="fr-FR"/>
              </w:rPr>
              <w:t>, tous les groupes sociaux, toutes les sensibilités</w:t>
            </w:r>
            <w:r w:rsidR="005A1341" w:rsidRPr="008A0031">
              <w:rPr>
                <w:rFonts w:asciiTheme="minorHAnsi" w:hAnsiTheme="minorHAnsi" w:cstheme="minorHAnsi"/>
                <w:lang w:val="fr-FR"/>
              </w:rPr>
              <w:t xml:space="preserve">. Elle passe par un dialogue intra- et </w:t>
            </w:r>
            <w:r w:rsidR="00D41119" w:rsidRPr="008A0031">
              <w:rPr>
                <w:rFonts w:asciiTheme="minorHAnsi" w:hAnsiTheme="minorHAnsi" w:cstheme="minorHAnsi"/>
                <w:lang w:val="fr-FR"/>
              </w:rPr>
              <w:t>intercommunautaire</w:t>
            </w:r>
            <w:r w:rsidR="005A1341" w:rsidRPr="008A0031">
              <w:rPr>
                <w:rFonts w:asciiTheme="minorHAnsi" w:hAnsiTheme="minorHAnsi" w:cstheme="minorHAnsi"/>
                <w:lang w:val="fr-FR"/>
              </w:rPr>
              <w:t xml:space="preserve"> sur les problèmes auxquels les communautés sont confrontées, qui vise </w:t>
            </w:r>
            <w:r w:rsidR="00D41119" w:rsidRPr="008A0031">
              <w:rPr>
                <w:rFonts w:asciiTheme="minorHAnsi" w:hAnsiTheme="minorHAnsi" w:cstheme="minorHAnsi"/>
                <w:lang w:val="fr-FR"/>
              </w:rPr>
              <w:t xml:space="preserve">l’élaboration de solutions en commun, sur la base du consensus. </w:t>
            </w:r>
            <w:r w:rsidR="002010E8" w:rsidRPr="00DF223A">
              <w:rPr>
                <w:lang w:val="fr-FR"/>
              </w:rPr>
              <w:t>Ainsi, les femmes sont impliquées dans les activités du projet au même titre que les hommes,</w:t>
            </w:r>
            <w:r w:rsidR="002010E8">
              <w:rPr>
                <w:lang w:val="fr-FR"/>
              </w:rPr>
              <w:t xml:space="preserve"> dans le respect de la culture locale. Cependant, la situation sécuritaire actuelle impose certaines limites. Par ex.</w:t>
            </w:r>
            <w:r w:rsidR="002010E8" w:rsidRPr="00DF223A">
              <w:rPr>
                <w:lang w:val="fr-FR"/>
              </w:rPr>
              <w:t xml:space="preserve"> l’imposition de la charia par les groupes extrémistes actifs dans la zone </w:t>
            </w:r>
            <w:r w:rsidR="002010E8">
              <w:rPr>
                <w:lang w:val="fr-FR"/>
              </w:rPr>
              <w:t xml:space="preserve">d’intervention </w:t>
            </w:r>
            <w:r w:rsidR="002010E8" w:rsidRPr="00DF223A">
              <w:rPr>
                <w:lang w:val="fr-FR"/>
              </w:rPr>
              <w:t>limite l</w:t>
            </w:r>
            <w:r w:rsidR="002010E8">
              <w:rPr>
                <w:lang w:val="fr-FR"/>
              </w:rPr>
              <w:t>a</w:t>
            </w:r>
            <w:r w:rsidR="002010E8" w:rsidRPr="00DF223A">
              <w:rPr>
                <w:lang w:val="fr-FR"/>
              </w:rPr>
              <w:t xml:space="preserve"> participation</w:t>
            </w:r>
            <w:r w:rsidR="002010E8">
              <w:rPr>
                <w:lang w:val="fr-FR"/>
              </w:rPr>
              <w:t xml:space="preserve"> des femmes</w:t>
            </w:r>
            <w:r w:rsidR="002010E8" w:rsidRPr="00DF223A">
              <w:rPr>
                <w:lang w:val="fr-FR"/>
              </w:rPr>
              <w:t>, notamment aux réunions.</w:t>
            </w:r>
            <w:r w:rsidR="002010E8">
              <w:rPr>
                <w:lang w:val="fr-FR"/>
              </w:rPr>
              <w:t xml:space="preserve"> Pour cette raison, et par souci de sécurité en général, certaines activités (notamment certaines réunions) sont délocalisées en ville hors de l’aire de répartition des éléphants.</w:t>
            </w:r>
          </w:p>
          <w:p w14:paraId="77720CF8" w14:textId="372EA1AF" w:rsidR="00D41119" w:rsidRPr="008A0031" w:rsidRDefault="00D41119" w:rsidP="001064FF">
            <w:pPr>
              <w:suppressAutoHyphens/>
              <w:spacing w:after="120"/>
              <w:jc w:val="both"/>
              <w:rPr>
                <w:rFonts w:asciiTheme="minorHAnsi" w:hAnsiTheme="minorHAnsi" w:cstheme="minorHAnsi"/>
                <w:lang w:val="fr-FR"/>
              </w:rPr>
            </w:pPr>
            <w:bookmarkStart w:id="0" w:name="_Hlk116735696"/>
            <w:r w:rsidRPr="008A0031">
              <w:rPr>
                <w:rFonts w:asciiTheme="minorHAnsi" w:hAnsiTheme="minorHAnsi" w:cstheme="minorHAnsi"/>
                <w:lang w:val="fr-FR"/>
              </w:rPr>
              <w:t>Les femmes</w:t>
            </w:r>
            <w:r w:rsidR="008A0031">
              <w:rPr>
                <w:rFonts w:asciiTheme="minorHAnsi" w:hAnsiTheme="minorHAnsi" w:cstheme="minorHAnsi"/>
                <w:lang w:val="fr-FR"/>
              </w:rPr>
              <w:t xml:space="preserve">, comme les jeunes, </w:t>
            </w:r>
            <w:r w:rsidRPr="008A0031">
              <w:rPr>
                <w:rFonts w:asciiTheme="minorHAnsi" w:hAnsiTheme="minorHAnsi" w:cstheme="minorHAnsi"/>
                <w:lang w:val="fr-FR"/>
              </w:rPr>
              <w:t xml:space="preserve">sont très engagées au sein de leur communauté et leurs voix se font entendre à </w:t>
            </w:r>
            <w:r w:rsidRPr="008A0031">
              <w:rPr>
                <w:rFonts w:asciiTheme="minorHAnsi" w:hAnsiTheme="minorHAnsi" w:cstheme="minorHAnsi"/>
                <w:lang w:val="fr-FR"/>
              </w:rPr>
              <w:lastRenderedPageBreak/>
              <w:t>plusieurs niveaux</w:t>
            </w:r>
            <w:r w:rsidR="00F70748" w:rsidRPr="008A0031">
              <w:rPr>
                <w:rFonts w:asciiTheme="minorHAnsi" w:hAnsiTheme="minorHAnsi" w:cstheme="minorHAnsi"/>
                <w:lang w:val="fr-FR"/>
              </w:rPr>
              <w:t xml:space="preserve"> où elles livrent librement leurs opinions.</w:t>
            </w:r>
          </w:p>
          <w:bookmarkEnd w:id="0"/>
          <w:p w14:paraId="2F17E93A" w14:textId="441620E2" w:rsidR="00D41119" w:rsidRPr="008A0031" w:rsidRDefault="00F70748" w:rsidP="001064FF">
            <w:pPr>
              <w:spacing w:after="120"/>
              <w:jc w:val="both"/>
              <w:rPr>
                <w:rFonts w:asciiTheme="minorHAnsi" w:hAnsiTheme="minorHAnsi" w:cstheme="minorHAnsi"/>
                <w:lang w:val="fr-FR"/>
              </w:rPr>
            </w:pPr>
            <w:r w:rsidRPr="008A0031">
              <w:rPr>
                <w:rFonts w:asciiTheme="minorHAnsi" w:hAnsiTheme="minorHAnsi" w:cstheme="minorHAnsi"/>
                <w:b/>
                <w:bCs/>
                <w:lang w:val="fr-FR"/>
              </w:rPr>
              <w:t>Au niveau de</w:t>
            </w:r>
            <w:r w:rsidR="00D41119" w:rsidRPr="008A0031">
              <w:rPr>
                <w:rFonts w:asciiTheme="minorHAnsi" w:hAnsiTheme="minorHAnsi" w:cstheme="minorHAnsi"/>
                <w:b/>
                <w:bCs/>
                <w:lang w:val="fr-FR"/>
              </w:rPr>
              <w:t xml:space="preserve"> certains conseils communaux</w:t>
            </w:r>
            <w:r w:rsidRPr="008A0031">
              <w:rPr>
                <w:rFonts w:asciiTheme="minorHAnsi" w:hAnsiTheme="minorHAnsi" w:cstheme="minorHAnsi"/>
                <w:lang w:val="fr-FR"/>
              </w:rPr>
              <w:t>, au sein desquels les femmes</w:t>
            </w:r>
            <w:r w:rsidR="00D41119" w:rsidRPr="008A0031">
              <w:rPr>
                <w:rFonts w:asciiTheme="minorHAnsi" w:hAnsiTheme="minorHAnsi" w:cstheme="minorHAnsi"/>
                <w:lang w:val="fr-FR"/>
              </w:rPr>
              <w:t xml:space="preserve"> prennent une part active au</w:t>
            </w:r>
            <w:r w:rsidRPr="008A0031">
              <w:rPr>
                <w:rFonts w:asciiTheme="minorHAnsi" w:hAnsiTheme="minorHAnsi" w:cstheme="minorHAnsi"/>
                <w:lang w:val="fr-FR"/>
              </w:rPr>
              <w:t>x</w:t>
            </w:r>
            <w:r w:rsidR="00D41119" w:rsidRPr="008A0031">
              <w:rPr>
                <w:rFonts w:asciiTheme="minorHAnsi" w:hAnsiTheme="minorHAnsi" w:cstheme="minorHAnsi"/>
                <w:lang w:val="fr-FR"/>
              </w:rPr>
              <w:t xml:space="preserve"> délibérations, comme en témoigne l’exemple de la commune de Pétaka. </w:t>
            </w:r>
            <w:r w:rsidRPr="008A0031">
              <w:rPr>
                <w:rFonts w:asciiTheme="minorHAnsi" w:hAnsiTheme="minorHAnsi" w:cstheme="minorHAnsi"/>
                <w:lang w:val="fr-FR"/>
              </w:rPr>
              <w:t xml:space="preserve">Lors de l’assemblée générale qui a eu lieu à la mairie de Pétaka </w:t>
            </w:r>
            <w:r w:rsidR="00D41119" w:rsidRPr="008A0031">
              <w:rPr>
                <w:rFonts w:asciiTheme="minorHAnsi" w:hAnsiTheme="minorHAnsi" w:cstheme="minorHAnsi"/>
                <w:lang w:val="fr-FR" w:bidi="fr-FR"/>
              </w:rPr>
              <w:t xml:space="preserve">pour délibérer sur la mise en place de nouveaux écogardes et la protection de </w:t>
            </w:r>
            <w:r w:rsidRPr="008A0031">
              <w:rPr>
                <w:rFonts w:asciiTheme="minorHAnsi" w:hAnsiTheme="minorHAnsi" w:cstheme="minorHAnsi"/>
                <w:lang w:val="fr-FR" w:bidi="fr-FR"/>
              </w:rPr>
              <w:t xml:space="preserve">la </w:t>
            </w:r>
            <w:r w:rsidR="00D41119" w:rsidRPr="008A0031">
              <w:rPr>
                <w:rFonts w:asciiTheme="minorHAnsi" w:hAnsiTheme="minorHAnsi" w:cstheme="minorHAnsi"/>
                <w:lang w:val="fr-FR" w:bidi="fr-FR"/>
              </w:rPr>
              <w:t>br</w:t>
            </w:r>
            <w:r w:rsidRPr="008A0031">
              <w:rPr>
                <w:rFonts w:asciiTheme="minorHAnsi" w:hAnsiTheme="minorHAnsi" w:cstheme="minorHAnsi"/>
                <w:lang w:val="fr-FR" w:bidi="fr-FR"/>
              </w:rPr>
              <w:t>ou</w:t>
            </w:r>
            <w:r w:rsidR="00D41119" w:rsidRPr="008A0031">
              <w:rPr>
                <w:rFonts w:asciiTheme="minorHAnsi" w:hAnsiTheme="minorHAnsi" w:cstheme="minorHAnsi"/>
                <w:lang w:val="fr-FR" w:bidi="fr-FR"/>
              </w:rPr>
              <w:t>sse</w:t>
            </w:r>
            <w:r w:rsidRPr="008A0031">
              <w:rPr>
                <w:rFonts w:asciiTheme="minorHAnsi" w:hAnsiTheme="minorHAnsi" w:cstheme="minorHAnsi"/>
                <w:lang w:val="fr-FR" w:bidi="fr-FR"/>
              </w:rPr>
              <w:t xml:space="preserve">, la conseillère communale a pris la parole pour soutenir l’idée avec ferveur : « Je </w:t>
            </w:r>
            <w:r w:rsidR="00D41119" w:rsidRPr="008A0031">
              <w:rPr>
                <w:rFonts w:asciiTheme="minorHAnsi" w:hAnsiTheme="minorHAnsi" w:cstheme="minorHAnsi"/>
                <w:lang w:val="fr-FR" w:bidi="fr-FR"/>
              </w:rPr>
              <w:t>souhai</w:t>
            </w:r>
            <w:r w:rsidRPr="008A0031">
              <w:rPr>
                <w:rFonts w:asciiTheme="minorHAnsi" w:hAnsiTheme="minorHAnsi" w:cstheme="minorHAnsi"/>
                <w:lang w:val="fr-FR" w:bidi="fr-FR"/>
              </w:rPr>
              <w:t>te</w:t>
            </w:r>
            <w:r w:rsidR="00D41119" w:rsidRPr="008A0031">
              <w:rPr>
                <w:rFonts w:asciiTheme="minorHAnsi" w:hAnsiTheme="minorHAnsi" w:cstheme="minorHAnsi"/>
                <w:lang w:val="fr-FR" w:bidi="fr-FR"/>
              </w:rPr>
              <w:t xml:space="preserve"> que ce genre de re</w:t>
            </w:r>
            <w:r w:rsidRPr="008A0031">
              <w:rPr>
                <w:rFonts w:asciiTheme="minorHAnsi" w:hAnsiTheme="minorHAnsi" w:cstheme="minorHAnsi"/>
                <w:lang w:val="fr-FR" w:bidi="fr-FR"/>
              </w:rPr>
              <w:t>n</w:t>
            </w:r>
            <w:r w:rsidR="00D41119" w:rsidRPr="008A0031">
              <w:rPr>
                <w:rFonts w:asciiTheme="minorHAnsi" w:hAnsiTheme="minorHAnsi" w:cstheme="minorHAnsi"/>
                <w:lang w:val="fr-FR" w:bidi="fr-FR"/>
              </w:rPr>
              <w:t>contres</w:t>
            </w:r>
            <w:r w:rsidRPr="008A0031">
              <w:rPr>
                <w:rFonts w:asciiTheme="minorHAnsi" w:hAnsiTheme="minorHAnsi" w:cstheme="minorHAnsi"/>
                <w:lang w:val="fr-FR" w:bidi="fr-FR"/>
              </w:rPr>
              <w:t xml:space="preserve"> se m</w:t>
            </w:r>
            <w:r w:rsidR="00D41119" w:rsidRPr="008A0031">
              <w:rPr>
                <w:rFonts w:asciiTheme="minorHAnsi" w:hAnsiTheme="minorHAnsi" w:cstheme="minorHAnsi"/>
                <w:lang w:val="fr-FR" w:bidi="fr-FR"/>
              </w:rPr>
              <w:t>ultiplient. Si la brous</w:t>
            </w:r>
            <w:r w:rsidRPr="008A0031">
              <w:rPr>
                <w:rFonts w:asciiTheme="minorHAnsi" w:hAnsiTheme="minorHAnsi" w:cstheme="minorHAnsi"/>
                <w:lang w:val="fr-FR" w:bidi="fr-FR"/>
              </w:rPr>
              <w:t>s</w:t>
            </w:r>
            <w:r w:rsidR="00D41119" w:rsidRPr="008A0031">
              <w:rPr>
                <w:rFonts w:asciiTheme="minorHAnsi" w:hAnsiTheme="minorHAnsi" w:cstheme="minorHAnsi"/>
                <w:lang w:val="fr-FR" w:bidi="fr-FR"/>
              </w:rPr>
              <w:t xml:space="preserve">e est bien </w:t>
            </w:r>
            <w:r w:rsidRPr="008A0031">
              <w:rPr>
                <w:rFonts w:asciiTheme="minorHAnsi" w:hAnsiTheme="minorHAnsi" w:cstheme="minorHAnsi"/>
                <w:lang w:val="fr-FR" w:bidi="fr-FR"/>
              </w:rPr>
              <w:t>pr</w:t>
            </w:r>
            <w:r w:rsidR="00D41119" w:rsidRPr="008A0031">
              <w:rPr>
                <w:rFonts w:asciiTheme="minorHAnsi" w:hAnsiTheme="minorHAnsi" w:cstheme="minorHAnsi"/>
                <w:lang w:val="fr-FR" w:bidi="fr-FR"/>
              </w:rPr>
              <w:t>otég</w:t>
            </w:r>
            <w:r w:rsidRPr="008A0031">
              <w:rPr>
                <w:rFonts w:asciiTheme="minorHAnsi" w:hAnsiTheme="minorHAnsi" w:cstheme="minorHAnsi"/>
                <w:lang w:val="fr-FR" w:bidi="fr-FR"/>
              </w:rPr>
              <w:t>ée</w:t>
            </w:r>
            <w:r w:rsidR="00D41119" w:rsidRPr="008A0031">
              <w:rPr>
                <w:rFonts w:asciiTheme="minorHAnsi" w:hAnsiTheme="minorHAnsi" w:cstheme="minorHAnsi"/>
                <w:lang w:val="fr-FR" w:bidi="fr-FR"/>
              </w:rPr>
              <w:t>, c’es</w:t>
            </w:r>
            <w:r w:rsidRPr="008A0031">
              <w:rPr>
                <w:rFonts w:asciiTheme="minorHAnsi" w:hAnsiTheme="minorHAnsi" w:cstheme="minorHAnsi"/>
                <w:lang w:val="fr-FR" w:bidi="fr-FR"/>
              </w:rPr>
              <w:t>t [bon]</w:t>
            </w:r>
            <w:r w:rsidR="00D41119" w:rsidRPr="008A0031">
              <w:rPr>
                <w:rFonts w:asciiTheme="minorHAnsi" w:hAnsiTheme="minorHAnsi" w:cstheme="minorHAnsi"/>
                <w:lang w:val="fr-FR" w:bidi="fr-FR"/>
              </w:rPr>
              <w:t xml:space="preserve"> pour nous les femmes et les enfants qui ne pouvons pas bouger à cause de l’insécu</w:t>
            </w:r>
            <w:r w:rsidRPr="008A0031">
              <w:rPr>
                <w:rFonts w:asciiTheme="minorHAnsi" w:hAnsiTheme="minorHAnsi" w:cstheme="minorHAnsi"/>
                <w:lang w:val="fr-FR" w:bidi="fr-FR"/>
              </w:rPr>
              <w:t>rit</w:t>
            </w:r>
            <w:r w:rsidR="00D41119" w:rsidRPr="008A0031">
              <w:rPr>
                <w:rFonts w:asciiTheme="minorHAnsi" w:hAnsiTheme="minorHAnsi" w:cstheme="minorHAnsi"/>
                <w:lang w:val="fr-FR" w:bidi="fr-FR"/>
              </w:rPr>
              <w:t>é.</w:t>
            </w:r>
            <w:r w:rsidRPr="008A0031">
              <w:rPr>
                <w:rFonts w:asciiTheme="minorHAnsi" w:hAnsiTheme="minorHAnsi" w:cstheme="minorHAnsi"/>
                <w:lang w:val="fr-FR" w:bidi="fr-FR"/>
              </w:rPr>
              <w:t> » (</w:t>
            </w:r>
            <w:proofErr w:type="gramStart"/>
            <w:r w:rsidRPr="008A0031">
              <w:rPr>
                <w:rFonts w:asciiTheme="minorHAnsi" w:hAnsiTheme="minorHAnsi" w:cstheme="minorHAnsi"/>
                <w:lang w:val="fr-FR" w:bidi="fr-FR"/>
              </w:rPr>
              <w:t>extrait</w:t>
            </w:r>
            <w:proofErr w:type="gramEnd"/>
            <w:r w:rsidRPr="008A0031">
              <w:rPr>
                <w:rFonts w:asciiTheme="minorHAnsi" w:hAnsiTheme="minorHAnsi" w:cstheme="minorHAnsi"/>
                <w:lang w:val="fr-FR" w:bidi="fr-FR"/>
              </w:rPr>
              <w:t xml:space="preserve"> du PV)</w:t>
            </w:r>
          </w:p>
          <w:p w14:paraId="5BDA102C" w14:textId="23EA5B8D" w:rsidR="00AC6D31" w:rsidRDefault="0010528E" w:rsidP="00AC6D31">
            <w:pPr>
              <w:suppressAutoHyphens/>
              <w:spacing w:after="120"/>
              <w:jc w:val="both"/>
              <w:rPr>
                <w:rFonts w:asciiTheme="minorHAnsi" w:hAnsiTheme="minorHAnsi" w:cstheme="minorHAnsi"/>
                <w:lang w:val="fr-FR"/>
              </w:rPr>
            </w:pPr>
            <w:r w:rsidRPr="00FF25B3">
              <w:rPr>
                <w:rFonts w:asciiTheme="minorHAnsi" w:hAnsiTheme="minorHAnsi" w:cstheme="minorHAnsi"/>
                <w:b/>
                <w:bCs/>
                <w:lang w:val="fr-FR"/>
              </w:rPr>
              <w:t>Au niveau des comités</w:t>
            </w:r>
            <w:r w:rsidR="00AC6D31" w:rsidRPr="00FF25B3">
              <w:rPr>
                <w:rFonts w:asciiTheme="minorHAnsi" w:hAnsiTheme="minorHAnsi" w:cstheme="minorHAnsi"/>
                <w:b/>
                <w:bCs/>
                <w:lang w:val="fr-FR"/>
              </w:rPr>
              <w:t xml:space="preserve"> villageois</w:t>
            </w:r>
            <w:r w:rsidR="00F70748" w:rsidRPr="00FF25B3">
              <w:rPr>
                <w:rFonts w:asciiTheme="minorHAnsi" w:hAnsiTheme="minorHAnsi" w:cstheme="minorHAnsi"/>
                <w:b/>
                <w:bCs/>
                <w:lang w:val="fr-FR"/>
              </w:rPr>
              <w:t xml:space="preserve"> </w:t>
            </w:r>
            <w:r w:rsidR="00AC6D31" w:rsidRPr="00FF25B3">
              <w:rPr>
                <w:rFonts w:asciiTheme="minorHAnsi" w:hAnsiTheme="minorHAnsi" w:cstheme="minorHAnsi"/>
                <w:b/>
                <w:bCs/>
                <w:lang w:val="fr-FR"/>
              </w:rPr>
              <w:t xml:space="preserve">de surveillance chargés de la mise en œuvre des conventions. </w:t>
            </w:r>
            <w:r w:rsidR="00AC6D31" w:rsidRPr="00756520">
              <w:rPr>
                <w:rFonts w:asciiTheme="minorHAnsi" w:hAnsiTheme="minorHAnsi" w:cstheme="minorHAnsi"/>
                <w:lang w:val="fr-FR"/>
              </w:rPr>
              <w:t>Les femmes sont présentes au sein des 116 structures mises en place au niveau village, à raison de 4 femmes par structure</w:t>
            </w:r>
            <w:r w:rsidR="00756520">
              <w:rPr>
                <w:rFonts w:asciiTheme="minorHAnsi" w:hAnsiTheme="minorHAnsi" w:cstheme="minorHAnsi"/>
                <w:lang w:val="fr-FR"/>
              </w:rPr>
              <w:t xml:space="preserve"> en moyenne.</w:t>
            </w:r>
          </w:p>
          <w:p w14:paraId="70C6E831" w14:textId="2161730B" w:rsidR="00756520" w:rsidRPr="00756520" w:rsidRDefault="00756520" w:rsidP="00AC6D31">
            <w:pPr>
              <w:suppressAutoHyphens/>
              <w:spacing w:after="120"/>
              <w:jc w:val="both"/>
              <w:rPr>
                <w:rFonts w:asciiTheme="minorHAnsi" w:hAnsiTheme="minorHAnsi" w:cstheme="minorHAnsi"/>
                <w:lang w:val="fr-BE"/>
              </w:rPr>
            </w:pPr>
            <w:r w:rsidRPr="00756520">
              <w:rPr>
                <w:b/>
                <w:bCs/>
                <w:lang w:val="fr-FR" w:bidi="fr-FR"/>
              </w:rPr>
              <w:t>Dans le cadre des initiatives GRN.</w:t>
            </w:r>
            <w:r>
              <w:rPr>
                <w:lang w:val="fr-FR" w:bidi="fr-FR"/>
              </w:rPr>
              <w:t xml:space="preserve"> </w:t>
            </w:r>
            <w:r w:rsidRPr="005B72F1">
              <w:rPr>
                <w:lang w:val="fr-FR" w:bidi="fr-FR"/>
              </w:rPr>
              <w:t>Les associations bénéficiaires</w:t>
            </w:r>
            <w:r>
              <w:rPr>
                <w:lang w:val="fr-FR" w:bidi="fr-FR"/>
              </w:rPr>
              <w:t xml:space="preserve"> de financement</w:t>
            </w:r>
            <w:r w:rsidRPr="005B72F1">
              <w:rPr>
                <w:lang w:val="fr-FR" w:bidi="fr-FR"/>
              </w:rPr>
              <w:t xml:space="preserve"> regroupent</w:t>
            </w:r>
            <w:r>
              <w:rPr>
                <w:lang w:val="fr-FR" w:bidi="fr-FR"/>
              </w:rPr>
              <w:t xml:space="preserve"> à ce jour</w:t>
            </w:r>
            <w:r w:rsidRPr="005B72F1">
              <w:rPr>
                <w:lang w:val="fr-FR" w:bidi="fr-FR"/>
              </w:rPr>
              <w:t xml:space="preserve"> 1 0004 membres dont 776 H et 223 F.</w:t>
            </w:r>
          </w:p>
          <w:p w14:paraId="248BE60A" w14:textId="40B43174" w:rsidR="002924A7" w:rsidRDefault="0010528E" w:rsidP="002924A7">
            <w:pPr>
              <w:spacing w:after="160"/>
              <w:jc w:val="both"/>
              <w:rPr>
                <w:rFonts w:asciiTheme="minorHAnsi" w:hAnsiTheme="minorHAnsi" w:cstheme="minorHAnsi"/>
                <w:lang w:val="fr-FR"/>
              </w:rPr>
            </w:pPr>
            <w:r w:rsidRPr="008A0031">
              <w:rPr>
                <w:rFonts w:asciiTheme="minorHAnsi" w:hAnsiTheme="minorHAnsi" w:cstheme="minorHAnsi"/>
                <w:b/>
                <w:bCs/>
                <w:lang w:val="fr-FR"/>
              </w:rPr>
              <w:t>Dans le</w:t>
            </w:r>
            <w:r w:rsidR="00FB22E5" w:rsidRPr="008A0031">
              <w:rPr>
                <w:rFonts w:asciiTheme="minorHAnsi" w:hAnsiTheme="minorHAnsi" w:cstheme="minorHAnsi"/>
                <w:b/>
                <w:bCs/>
                <w:lang w:val="fr-FR"/>
              </w:rPr>
              <w:t xml:space="preserve"> </w:t>
            </w:r>
            <w:r w:rsidRPr="008A0031">
              <w:rPr>
                <w:rFonts w:asciiTheme="minorHAnsi" w:hAnsiTheme="minorHAnsi" w:cstheme="minorHAnsi"/>
                <w:b/>
                <w:bCs/>
                <w:lang w:val="fr-FR"/>
              </w:rPr>
              <w:t xml:space="preserve">cadre </w:t>
            </w:r>
            <w:r w:rsidR="00FB22E5" w:rsidRPr="008A0031">
              <w:rPr>
                <w:rFonts w:asciiTheme="minorHAnsi" w:hAnsiTheme="minorHAnsi" w:cstheme="minorHAnsi"/>
                <w:b/>
                <w:bCs/>
                <w:lang w:val="fr-FR"/>
              </w:rPr>
              <w:t xml:space="preserve">du projet, les </w:t>
            </w:r>
            <w:r w:rsidRPr="008A0031">
              <w:rPr>
                <w:rFonts w:asciiTheme="minorHAnsi" w:hAnsiTheme="minorHAnsi" w:cstheme="minorHAnsi"/>
                <w:b/>
                <w:bCs/>
                <w:lang w:val="fr-FR"/>
              </w:rPr>
              <w:t>AGR</w:t>
            </w:r>
            <w:r w:rsidR="00FB22E5" w:rsidRPr="008A0031">
              <w:rPr>
                <w:rFonts w:asciiTheme="minorHAnsi" w:hAnsiTheme="minorHAnsi" w:cstheme="minorHAnsi"/>
                <w:lang w:val="fr-FR"/>
              </w:rPr>
              <w:t xml:space="preserve"> cible</w:t>
            </w:r>
            <w:r w:rsidR="00213387">
              <w:rPr>
                <w:rFonts w:asciiTheme="minorHAnsi" w:hAnsiTheme="minorHAnsi" w:cstheme="minorHAnsi"/>
                <w:lang w:val="fr-FR"/>
              </w:rPr>
              <w:t>n</w:t>
            </w:r>
            <w:r w:rsidR="00FB22E5" w:rsidRPr="008A0031">
              <w:rPr>
                <w:rFonts w:asciiTheme="minorHAnsi" w:hAnsiTheme="minorHAnsi" w:cstheme="minorHAnsi"/>
                <w:lang w:val="fr-FR"/>
              </w:rPr>
              <w:t xml:space="preserve">t aussi particulièrement les femmes. </w:t>
            </w:r>
            <w:r w:rsidR="00213387">
              <w:rPr>
                <w:rFonts w:asciiTheme="minorHAnsi" w:hAnsiTheme="minorHAnsi" w:cstheme="minorHAnsi"/>
                <w:lang w:val="fr-FR"/>
              </w:rPr>
              <w:t xml:space="preserve">Sur les 86 AGR financées à ce jour, 30 d’entre elles sont portées par des associations féminines, 49 par des associations mixtes, et seulement 7 par des associations masculines. Les femmes représentent près de 55% des membres au sein de ces associations (1 743 sur 3 175). </w:t>
            </w:r>
            <w:r w:rsidR="00FB22E5" w:rsidRPr="008A0031">
              <w:rPr>
                <w:rFonts w:asciiTheme="minorHAnsi" w:hAnsiTheme="minorHAnsi" w:cstheme="minorHAnsi"/>
                <w:lang w:val="fr-FR"/>
              </w:rPr>
              <w:t>Par oppositions aux homme</w:t>
            </w:r>
            <w:r w:rsidR="008A0031">
              <w:rPr>
                <w:rFonts w:asciiTheme="minorHAnsi" w:hAnsiTheme="minorHAnsi" w:cstheme="minorHAnsi"/>
                <w:lang w:val="fr-FR"/>
              </w:rPr>
              <w:t>s</w:t>
            </w:r>
            <w:r w:rsidR="00FB22E5" w:rsidRPr="008A0031">
              <w:rPr>
                <w:rFonts w:asciiTheme="minorHAnsi" w:hAnsiTheme="minorHAnsi" w:cstheme="minorHAnsi"/>
                <w:lang w:val="fr-FR"/>
              </w:rPr>
              <w:t xml:space="preserve">, </w:t>
            </w:r>
            <w:r w:rsidR="008A0031">
              <w:rPr>
                <w:rFonts w:asciiTheme="minorHAnsi" w:hAnsiTheme="minorHAnsi" w:cstheme="minorHAnsi"/>
                <w:lang w:val="fr-FR"/>
              </w:rPr>
              <w:t xml:space="preserve">le PEM a constaté que </w:t>
            </w:r>
            <w:r w:rsidR="00FB22E5" w:rsidRPr="008A0031">
              <w:rPr>
                <w:rFonts w:asciiTheme="minorHAnsi" w:hAnsiTheme="minorHAnsi" w:cstheme="minorHAnsi"/>
                <w:lang w:val="fr-FR"/>
              </w:rPr>
              <w:t>les associations féminines font souvent preuve d’une forte cohésion sociale, avec des</w:t>
            </w:r>
            <w:r w:rsidRPr="008A0031">
              <w:rPr>
                <w:rFonts w:asciiTheme="minorHAnsi" w:hAnsiTheme="minorHAnsi" w:cstheme="minorHAnsi"/>
                <w:lang w:val="fr-FR"/>
              </w:rPr>
              <w:t xml:space="preserve"> leaders </w:t>
            </w:r>
            <w:r w:rsidR="00FB22E5" w:rsidRPr="008A0031">
              <w:rPr>
                <w:rFonts w:asciiTheme="minorHAnsi" w:hAnsiTheme="minorHAnsi" w:cstheme="minorHAnsi"/>
                <w:lang w:val="fr-FR"/>
              </w:rPr>
              <w:t>qui bénéficient d</w:t>
            </w:r>
            <w:r w:rsidR="00213387">
              <w:rPr>
                <w:rFonts w:asciiTheme="minorHAnsi" w:hAnsiTheme="minorHAnsi" w:cstheme="minorHAnsi"/>
                <w:lang w:val="fr-FR"/>
              </w:rPr>
              <w:t>’une grande</w:t>
            </w:r>
            <w:r w:rsidRPr="008A0031">
              <w:rPr>
                <w:rFonts w:asciiTheme="minorHAnsi" w:hAnsiTheme="minorHAnsi" w:cstheme="minorHAnsi"/>
                <w:lang w:val="fr-FR"/>
              </w:rPr>
              <w:t xml:space="preserve"> légitimité et</w:t>
            </w:r>
            <w:r w:rsidR="008A0031">
              <w:rPr>
                <w:rFonts w:asciiTheme="minorHAnsi" w:hAnsiTheme="minorHAnsi" w:cstheme="minorHAnsi"/>
                <w:lang w:val="fr-FR"/>
              </w:rPr>
              <w:t xml:space="preserve"> qui</w:t>
            </w:r>
            <w:r w:rsidRPr="008A0031">
              <w:rPr>
                <w:rFonts w:asciiTheme="minorHAnsi" w:hAnsiTheme="minorHAnsi" w:cstheme="minorHAnsi"/>
                <w:lang w:val="fr-FR"/>
              </w:rPr>
              <w:t xml:space="preserve"> sont très respecté</w:t>
            </w:r>
            <w:r w:rsidR="00FB22E5" w:rsidRPr="008A0031">
              <w:rPr>
                <w:rFonts w:asciiTheme="minorHAnsi" w:hAnsiTheme="minorHAnsi" w:cstheme="minorHAnsi"/>
                <w:lang w:val="fr-FR"/>
              </w:rPr>
              <w:t>e</w:t>
            </w:r>
            <w:r w:rsidR="002924A7">
              <w:rPr>
                <w:rFonts w:asciiTheme="minorHAnsi" w:hAnsiTheme="minorHAnsi" w:cstheme="minorHAnsi"/>
                <w:lang w:val="fr-FR"/>
              </w:rPr>
              <w:t>s.</w:t>
            </w:r>
          </w:p>
          <w:p w14:paraId="6115E061" w14:textId="62C17389" w:rsidR="00A960D9" w:rsidRPr="00FB22E5" w:rsidRDefault="00A960D9" w:rsidP="002924A7">
            <w:pPr>
              <w:spacing w:after="160"/>
              <w:jc w:val="both"/>
              <w:rPr>
                <w:rFonts w:ascii="Arial Narrow" w:hAnsi="Arial Narrow"/>
                <w:lang w:val="fr-FR"/>
              </w:rPr>
            </w:pPr>
            <w:r w:rsidRPr="006B3C20">
              <w:rPr>
                <w:rFonts w:asciiTheme="minorHAnsi" w:hAnsiTheme="minorHAnsi" w:cstheme="minorHAnsi"/>
                <w:b/>
                <w:bCs/>
                <w:lang w:val="fr-FR"/>
              </w:rPr>
              <w:t>Au niveau du réseau d’écogardes</w:t>
            </w:r>
            <w:r w:rsidRPr="006B3C20">
              <w:rPr>
                <w:rFonts w:asciiTheme="minorHAnsi" w:hAnsiTheme="minorHAnsi" w:cstheme="minorHAnsi"/>
                <w:lang w:val="fr-FR"/>
              </w:rPr>
              <w:t xml:space="preserve"> – </w:t>
            </w:r>
            <w:bookmarkStart w:id="1" w:name="_Hlk116735793"/>
            <w:r w:rsidR="006B3C20" w:rsidRPr="006B3C20">
              <w:rPr>
                <w:rFonts w:asciiTheme="minorHAnsi" w:hAnsiTheme="minorHAnsi" w:cstheme="minorHAnsi"/>
                <w:lang w:val="fr-FR"/>
              </w:rPr>
              <w:t>1 460</w:t>
            </w:r>
            <w:r w:rsidRPr="006B3C20">
              <w:rPr>
                <w:rFonts w:asciiTheme="minorHAnsi" w:hAnsiTheme="minorHAnsi" w:cstheme="minorHAnsi"/>
                <w:lang w:val="fr-FR"/>
              </w:rPr>
              <w:t xml:space="preserve"> écogardes</w:t>
            </w:r>
            <w:bookmarkEnd w:id="1"/>
            <w:r w:rsidR="009468CC" w:rsidRPr="006B3C20">
              <w:rPr>
                <w:rFonts w:asciiTheme="minorHAnsi" w:hAnsiTheme="minorHAnsi" w:cstheme="minorHAnsi"/>
                <w:lang w:val="fr-FR"/>
              </w:rPr>
              <w:t>, dont 83 femmes,</w:t>
            </w:r>
            <w:r w:rsidRPr="006B3C20">
              <w:rPr>
                <w:rFonts w:asciiTheme="minorHAnsi" w:hAnsiTheme="minorHAnsi" w:cstheme="minorHAnsi"/>
                <w:lang w:val="fr-FR"/>
              </w:rPr>
              <w:t xml:space="preserve"> répartis sur 17 communes</w:t>
            </w:r>
            <w:r w:rsidR="006B3C20" w:rsidRPr="006B3C20">
              <w:rPr>
                <w:rFonts w:asciiTheme="minorHAnsi" w:hAnsiTheme="minorHAnsi" w:cstheme="minorHAnsi"/>
                <w:lang w:val="fr-FR"/>
              </w:rPr>
              <w:t xml:space="preserve"> sont à ce jour enregistrés avec le PEM. </w:t>
            </w:r>
            <w:r w:rsidR="00805E22">
              <w:rPr>
                <w:rFonts w:asciiTheme="minorHAnsi" w:hAnsiTheme="minorHAnsi" w:cstheme="minorHAnsi"/>
                <w:lang w:val="fr-FR"/>
              </w:rPr>
              <w:t>24 d</w:t>
            </w:r>
            <w:r w:rsidR="006B3C20" w:rsidRPr="006B3C20">
              <w:rPr>
                <w:rFonts w:asciiTheme="minorHAnsi" w:hAnsiTheme="minorHAnsi" w:cstheme="minorHAnsi"/>
                <w:lang w:val="fr-FR"/>
              </w:rPr>
              <w:t>e ces écogardes, dont</w:t>
            </w:r>
            <w:r w:rsidR="00805E22">
              <w:rPr>
                <w:rFonts w:asciiTheme="minorHAnsi" w:hAnsiTheme="minorHAnsi" w:cstheme="minorHAnsi"/>
                <w:lang w:val="fr-FR"/>
              </w:rPr>
              <w:t xml:space="preserve"> 2</w:t>
            </w:r>
            <w:r w:rsidR="006B3C20" w:rsidRPr="006B3C20">
              <w:rPr>
                <w:rFonts w:asciiTheme="minorHAnsi" w:hAnsiTheme="minorHAnsi" w:cstheme="minorHAnsi"/>
                <w:lang w:val="fr-FR"/>
              </w:rPr>
              <w:t xml:space="preserve"> femmes, ont été nommés dans la commune de Pétaka dans le cadre du projet FEM-PNUD.</w:t>
            </w:r>
          </w:p>
        </w:tc>
      </w:tr>
    </w:tbl>
    <w:p w14:paraId="051689E2" w14:textId="77777777" w:rsidR="00385CEE" w:rsidRPr="00135BB1" w:rsidRDefault="00385CEE">
      <w:pPr>
        <w:rPr>
          <w:lang w:val="fr-FR"/>
        </w:rPr>
      </w:pPr>
    </w:p>
    <w:tbl>
      <w:tblPr>
        <w:tblW w:w="10283"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3"/>
      </w:tblGrid>
      <w:tr w:rsidR="00385CEE" w:rsidRPr="00135BB1" w14:paraId="3B1CF7F3" w14:textId="77777777" w:rsidTr="00775D22">
        <w:tc>
          <w:tcPr>
            <w:tcW w:w="10283" w:type="dxa"/>
            <w:tcBorders>
              <w:top w:val="single" w:sz="4" w:space="0" w:color="auto"/>
              <w:left w:val="single" w:sz="4" w:space="0" w:color="auto"/>
              <w:bottom w:val="single" w:sz="4" w:space="0" w:color="auto"/>
              <w:right w:val="single" w:sz="4" w:space="0" w:color="auto"/>
            </w:tcBorders>
            <w:shd w:val="clear" w:color="auto" w:fill="BDD6EE"/>
          </w:tcPr>
          <w:p w14:paraId="4CB44737" w14:textId="77777777" w:rsidR="00385CEE" w:rsidRPr="00135BB1" w:rsidRDefault="00385CEE" w:rsidP="0015616F">
            <w:pPr>
              <w:numPr>
                <w:ilvl w:val="0"/>
                <w:numId w:val="2"/>
              </w:numPr>
              <w:suppressAutoHyphens/>
              <w:spacing w:after="120" w:line="240" w:lineRule="auto"/>
              <w:rPr>
                <w:rFonts w:cs="Times New Roman"/>
                <w:i/>
                <w:lang w:val="fr-FR"/>
              </w:rPr>
            </w:pPr>
            <w:r w:rsidRPr="00135BB1">
              <w:rPr>
                <w:b/>
                <w:bCs/>
                <w:sz w:val="24"/>
                <w:szCs w:val="24"/>
                <w:shd w:val="clear" w:color="auto" w:fill="BDD6EE"/>
                <w:lang w:val="fr-FR"/>
              </w:rPr>
              <w:t>Défis, risques et opportunités</w:t>
            </w:r>
          </w:p>
        </w:tc>
      </w:tr>
      <w:tr w:rsidR="00385CEE" w:rsidRPr="00B12AE6" w14:paraId="0B0DDD1D" w14:textId="77777777" w:rsidTr="00385CEE">
        <w:tc>
          <w:tcPr>
            <w:tcW w:w="10283" w:type="dxa"/>
            <w:tcBorders>
              <w:top w:val="single" w:sz="4" w:space="0" w:color="auto"/>
              <w:left w:val="single" w:sz="4" w:space="0" w:color="auto"/>
              <w:bottom w:val="single" w:sz="4" w:space="0" w:color="auto"/>
              <w:right w:val="single" w:sz="4" w:space="0" w:color="auto"/>
            </w:tcBorders>
            <w:shd w:val="clear" w:color="auto" w:fill="auto"/>
          </w:tcPr>
          <w:p w14:paraId="6160FF7D" w14:textId="77777777" w:rsidR="00385CEE" w:rsidRPr="00135BB1" w:rsidRDefault="00385CEE" w:rsidP="001E3342">
            <w:pPr>
              <w:suppressAutoHyphens/>
              <w:spacing w:after="120" w:line="240" w:lineRule="auto"/>
              <w:rPr>
                <w:rFonts w:cs="Times New Roman"/>
                <w:i/>
                <w:lang w:val="fr-FR"/>
              </w:rPr>
            </w:pPr>
            <w:r w:rsidRPr="00135BB1">
              <w:rPr>
                <w:rFonts w:cs="Times New Roman"/>
                <w:i/>
                <w:lang w:val="fr-FR"/>
              </w:rPr>
              <w:t>Fournir une analyse des défis, des difficultés, les risques et les opportunités rencontrées (peut-être d'ordre technique, financier ou organisationnel / interne et externe) et ce qui a été fait pour y remédier. Le cas échéant, décrivez le soutien qui pourrait être fourni par le programme du PNUD pour surmonter certains des problèmes.</w:t>
            </w:r>
          </w:p>
          <w:p w14:paraId="037163C5" w14:textId="66396FC4" w:rsidR="00502ECE" w:rsidRPr="00E93FDC" w:rsidRDefault="00502ECE" w:rsidP="001064FF">
            <w:pPr>
              <w:suppressAutoHyphens/>
              <w:spacing w:after="120"/>
              <w:jc w:val="both"/>
              <w:rPr>
                <w:rFonts w:asciiTheme="minorHAnsi" w:hAnsiTheme="minorHAnsi" w:cstheme="minorHAnsi"/>
                <w:b/>
                <w:bCs/>
                <w:lang w:val="fr-FR"/>
              </w:rPr>
            </w:pPr>
            <w:r w:rsidRPr="00E93FDC">
              <w:rPr>
                <w:rFonts w:asciiTheme="minorHAnsi" w:hAnsiTheme="minorHAnsi" w:cstheme="minorHAnsi"/>
                <w:b/>
                <w:bCs/>
                <w:lang w:val="fr-FR"/>
              </w:rPr>
              <w:t>Insécurité</w:t>
            </w:r>
          </w:p>
          <w:p w14:paraId="5B4584B1" w14:textId="48F8B41F" w:rsidR="0003701E" w:rsidRDefault="003E710F" w:rsidP="001064FF">
            <w:pPr>
              <w:suppressAutoHyphens/>
              <w:spacing w:after="120"/>
              <w:jc w:val="both"/>
              <w:rPr>
                <w:rFonts w:asciiTheme="minorHAnsi" w:hAnsiTheme="minorHAnsi" w:cstheme="minorHAnsi"/>
                <w:lang w:val="fr-FR"/>
              </w:rPr>
            </w:pPr>
            <w:r w:rsidRPr="008A0031">
              <w:rPr>
                <w:rFonts w:asciiTheme="minorHAnsi" w:hAnsiTheme="minorHAnsi" w:cstheme="minorHAnsi"/>
                <w:lang w:val="fr-FR"/>
              </w:rPr>
              <w:t>L</w:t>
            </w:r>
            <w:r w:rsidR="002010E8">
              <w:rPr>
                <w:rFonts w:asciiTheme="minorHAnsi" w:hAnsiTheme="minorHAnsi" w:cstheme="minorHAnsi"/>
                <w:lang w:val="fr-FR"/>
              </w:rPr>
              <w:t xml:space="preserve">’insécurité </w:t>
            </w:r>
            <w:r w:rsidRPr="008A0031">
              <w:rPr>
                <w:rFonts w:asciiTheme="minorHAnsi" w:hAnsiTheme="minorHAnsi" w:cstheme="minorHAnsi"/>
                <w:lang w:val="fr-FR"/>
              </w:rPr>
              <w:t>est source permanente de défis qui nécessitent bien souvent des réponses rapides et un engagement continu pour ne pas compromettre les progrès déjà accomplis</w:t>
            </w:r>
            <w:r>
              <w:rPr>
                <w:rFonts w:asciiTheme="minorHAnsi" w:hAnsiTheme="minorHAnsi" w:cstheme="minorHAnsi"/>
                <w:lang w:val="fr-FR"/>
              </w:rPr>
              <w:t>.</w:t>
            </w:r>
            <w:r w:rsidRPr="00502ECE">
              <w:rPr>
                <w:rFonts w:asciiTheme="minorHAnsi" w:hAnsiTheme="minorHAnsi" w:cstheme="minorHAnsi"/>
                <w:lang w:val="fr-FR"/>
              </w:rPr>
              <w:t xml:space="preserve"> </w:t>
            </w:r>
            <w:r w:rsidR="00502ECE" w:rsidRPr="00502ECE">
              <w:rPr>
                <w:rFonts w:asciiTheme="minorHAnsi" w:hAnsiTheme="minorHAnsi" w:cstheme="minorHAnsi"/>
                <w:lang w:val="fr-FR"/>
              </w:rPr>
              <w:t xml:space="preserve">Elle représente </w:t>
            </w:r>
            <w:r w:rsidR="00007B86">
              <w:rPr>
                <w:rFonts w:asciiTheme="minorHAnsi" w:hAnsiTheme="minorHAnsi" w:cstheme="minorHAnsi"/>
                <w:lang w:val="fr-FR"/>
              </w:rPr>
              <w:t>avant tout</w:t>
            </w:r>
            <w:r w:rsidR="00502ECE" w:rsidRPr="00502ECE">
              <w:rPr>
                <w:rFonts w:asciiTheme="minorHAnsi" w:hAnsiTheme="minorHAnsi" w:cstheme="minorHAnsi"/>
                <w:lang w:val="fr-FR"/>
              </w:rPr>
              <w:t xml:space="preserve"> une menace constante pour l’équipe du projet et les populations bénéficiaires. D’un point de vue opérationnel, </w:t>
            </w:r>
            <w:r w:rsidR="00E93FDC">
              <w:rPr>
                <w:rFonts w:asciiTheme="minorHAnsi" w:hAnsiTheme="minorHAnsi" w:cstheme="minorHAnsi"/>
                <w:lang w:val="fr-FR"/>
              </w:rPr>
              <w:t>e</w:t>
            </w:r>
            <w:r w:rsidR="00502ECE" w:rsidRPr="00502ECE">
              <w:rPr>
                <w:rFonts w:asciiTheme="minorHAnsi" w:hAnsiTheme="minorHAnsi" w:cstheme="minorHAnsi"/>
                <w:lang w:val="fr-FR"/>
              </w:rPr>
              <w:t xml:space="preserve">lle </w:t>
            </w:r>
            <w:r w:rsidR="0003701E" w:rsidRPr="00B45E47">
              <w:rPr>
                <w:rFonts w:asciiTheme="minorHAnsi" w:hAnsiTheme="minorHAnsi" w:cstheme="minorHAnsi"/>
                <w:lang w:val="fr-FR"/>
              </w:rPr>
              <w:t xml:space="preserve">rend tout plus cher et plus difficile, et déclenche toute une série d'autres </w:t>
            </w:r>
            <w:r w:rsidR="0003701E">
              <w:rPr>
                <w:rFonts w:asciiTheme="minorHAnsi" w:hAnsiTheme="minorHAnsi" w:cstheme="minorHAnsi"/>
                <w:lang w:val="fr-FR"/>
              </w:rPr>
              <w:t>défis</w:t>
            </w:r>
            <w:r w:rsidR="00E93FDC">
              <w:rPr>
                <w:rFonts w:asciiTheme="minorHAnsi" w:hAnsiTheme="minorHAnsi" w:cstheme="minorHAnsi"/>
                <w:lang w:val="fr-FR"/>
              </w:rPr>
              <w:t xml:space="preserve">, </w:t>
            </w:r>
            <w:r w:rsidR="00E93FDC" w:rsidRPr="00502ECE">
              <w:rPr>
                <w:rFonts w:asciiTheme="minorHAnsi" w:hAnsiTheme="minorHAnsi" w:cstheme="minorHAnsi"/>
                <w:lang w:val="fr-FR"/>
              </w:rPr>
              <w:t>impos</w:t>
            </w:r>
            <w:r w:rsidR="00E93FDC">
              <w:rPr>
                <w:rFonts w:asciiTheme="minorHAnsi" w:hAnsiTheme="minorHAnsi" w:cstheme="minorHAnsi"/>
                <w:lang w:val="fr-FR"/>
              </w:rPr>
              <w:t>ant</w:t>
            </w:r>
            <w:r w:rsidR="00E93FDC" w:rsidRPr="00502ECE">
              <w:rPr>
                <w:rFonts w:asciiTheme="minorHAnsi" w:hAnsiTheme="minorHAnsi" w:cstheme="minorHAnsi"/>
                <w:lang w:val="fr-FR"/>
              </w:rPr>
              <w:t xml:space="preserve"> une vigilance de tous les instants et de la flexibilité pour continuer de mener les activités et obtenir les résultats en minimisant les risques le plus possible</w:t>
            </w:r>
            <w:r w:rsidR="00E93FDC">
              <w:rPr>
                <w:rFonts w:asciiTheme="minorHAnsi" w:hAnsiTheme="minorHAnsi" w:cstheme="minorHAnsi"/>
                <w:lang w:val="fr-FR"/>
              </w:rPr>
              <w:t> :</w:t>
            </w:r>
          </w:p>
          <w:p w14:paraId="45AD10C2" w14:textId="682A9B60" w:rsidR="0003701E" w:rsidRDefault="00B45E47" w:rsidP="00E93FDC">
            <w:pPr>
              <w:suppressAutoHyphens/>
              <w:spacing w:after="120"/>
              <w:jc w:val="both"/>
              <w:rPr>
                <w:rFonts w:asciiTheme="minorHAnsi" w:hAnsiTheme="minorHAnsi" w:cstheme="minorHAnsi"/>
                <w:lang w:val="fr-FR"/>
              </w:rPr>
            </w:pPr>
            <w:r w:rsidRPr="00B45E47">
              <w:rPr>
                <w:rFonts w:asciiTheme="minorHAnsi" w:hAnsiTheme="minorHAnsi" w:cstheme="minorHAnsi"/>
                <w:lang w:val="fr-FR"/>
              </w:rPr>
              <w:t>•</w:t>
            </w:r>
            <w:r w:rsidRPr="00B45E47">
              <w:rPr>
                <w:rFonts w:asciiTheme="minorHAnsi" w:hAnsiTheme="minorHAnsi" w:cstheme="minorHAnsi"/>
                <w:lang w:val="fr-FR"/>
              </w:rPr>
              <w:tab/>
              <w:t xml:space="preserve">L'équipe de terrain risque d'être enlevée ou assassinée si elle est soupçonnée par les insurgés (qui ont des espions partout) d'être associée au gouvernement ou à des organisations occidentales. </w:t>
            </w:r>
            <w:r w:rsidR="00E93FDC">
              <w:rPr>
                <w:rFonts w:asciiTheme="minorHAnsi" w:hAnsiTheme="minorHAnsi" w:cstheme="minorHAnsi"/>
                <w:lang w:val="fr-FR"/>
              </w:rPr>
              <w:t>D</w:t>
            </w:r>
            <w:r w:rsidR="00E93FDC" w:rsidRPr="00E93FDC">
              <w:rPr>
                <w:rFonts w:asciiTheme="minorHAnsi" w:hAnsiTheme="minorHAnsi" w:cstheme="minorHAnsi"/>
                <w:lang w:val="fr-FR"/>
              </w:rPr>
              <w:t xml:space="preserve">es mesures renforcées ont </w:t>
            </w:r>
            <w:r w:rsidR="00E93FDC">
              <w:rPr>
                <w:rFonts w:asciiTheme="minorHAnsi" w:hAnsiTheme="minorHAnsi" w:cstheme="minorHAnsi"/>
                <w:lang w:val="fr-FR"/>
              </w:rPr>
              <w:t xml:space="preserve">ainsi </w:t>
            </w:r>
            <w:r w:rsidR="00E93FDC" w:rsidRPr="00E93FDC">
              <w:rPr>
                <w:rFonts w:asciiTheme="minorHAnsi" w:hAnsiTheme="minorHAnsi" w:cstheme="minorHAnsi"/>
                <w:lang w:val="fr-FR"/>
              </w:rPr>
              <w:t>été mises en place dès 2019.</w:t>
            </w:r>
            <w:r w:rsidR="00E93FDC">
              <w:rPr>
                <w:rFonts w:asciiTheme="minorHAnsi" w:hAnsiTheme="minorHAnsi" w:cstheme="minorHAnsi"/>
                <w:lang w:val="fr-FR"/>
              </w:rPr>
              <w:t xml:space="preserve"> </w:t>
            </w:r>
            <w:r w:rsidRPr="00B45E47">
              <w:rPr>
                <w:rFonts w:asciiTheme="minorHAnsi" w:hAnsiTheme="minorHAnsi" w:cstheme="minorHAnsi"/>
                <w:lang w:val="fr-FR"/>
              </w:rPr>
              <w:t xml:space="preserve">Cela signifie, par exemple, que le personnel ne peut pas se réunir au bureau à plus de 2 ou 3, par crainte d’éveiller les soupçons ; pour les réunions d'équipe, ils doivent voyager </w:t>
            </w:r>
            <w:r w:rsidRPr="00B45E47">
              <w:rPr>
                <w:rFonts w:asciiTheme="minorHAnsi" w:hAnsiTheme="minorHAnsi" w:cstheme="minorHAnsi"/>
                <w:lang w:val="fr-FR"/>
              </w:rPr>
              <w:lastRenderedPageBreak/>
              <w:t>pendant 3 heures sur l'une des routes les plus minées d'Afrique pour se retrouver dans la ville sécurisée la plus proche</w:t>
            </w:r>
            <w:r w:rsidR="00E93FDC">
              <w:rPr>
                <w:rFonts w:asciiTheme="minorHAnsi" w:hAnsiTheme="minorHAnsi" w:cstheme="minorHAnsi"/>
                <w:lang w:val="fr-FR"/>
              </w:rPr>
              <w:t>. S</w:t>
            </w:r>
            <w:r w:rsidR="00E93FDC" w:rsidRPr="0003701E">
              <w:rPr>
                <w:rFonts w:asciiTheme="minorHAnsi" w:hAnsiTheme="minorHAnsi" w:cstheme="minorHAnsi"/>
                <w:lang w:val="fr-FR"/>
              </w:rPr>
              <w:t xml:space="preserve">ur le terrain, le projet est présenté comme une initiative locale et les murs du bureau sont dépourvus de tout affichage, </w:t>
            </w:r>
            <w:r w:rsidR="00E93FDC">
              <w:rPr>
                <w:rFonts w:asciiTheme="minorHAnsi" w:hAnsiTheme="minorHAnsi" w:cstheme="minorHAnsi"/>
                <w:lang w:val="fr-FR"/>
              </w:rPr>
              <w:t xml:space="preserve">de </w:t>
            </w:r>
            <w:r w:rsidR="00E93FDC" w:rsidRPr="0003701E">
              <w:rPr>
                <w:rFonts w:asciiTheme="minorHAnsi" w:hAnsiTheme="minorHAnsi" w:cstheme="minorHAnsi"/>
                <w:lang w:val="fr-FR"/>
              </w:rPr>
              <w:t xml:space="preserve">panneaux ou </w:t>
            </w:r>
            <w:r w:rsidR="00E93FDC">
              <w:rPr>
                <w:rFonts w:asciiTheme="minorHAnsi" w:hAnsiTheme="minorHAnsi" w:cstheme="minorHAnsi"/>
                <w:lang w:val="fr-FR"/>
              </w:rPr>
              <w:t xml:space="preserve">de </w:t>
            </w:r>
            <w:r w:rsidR="00E93FDC" w:rsidRPr="0003701E">
              <w:rPr>
                <w:rFonts w:asciiTheme="minorHAnsi" w:hAnsiTheme="minorHAnsi" w:cstheme="minorHAnsi"/>
                <w:lang w:val="fr-FR"/>
              </w:rPr>
              <w:t>publicités</w:t>
            </w:r>
            <w:r w:rsidR="00E93FDC">
              <w:rPr>
                <w:rFonts w:asciiTheme="minorHAnsi" w:hAnsiTheme="minorHAnsi" w:cstheme="minorHAnsi"/>
                <w:lang w:val="fr-FR"/>
              </w:rPr>
              <w:t>.</w:t>
            </w:r>
          </w:p>
          <w:p w14:paraId="50D21063" w14:textId="67979F26" w:rsidR="0003701E" w:rsidRPr="00B45E47" w:rsidRDefault="0003701E" w:rsidP="00B45E47">
            <w:pPr>
              <w:suppressAutoHyphens/>
              <w:spacing w:after="120"/>
              <w:jc w:val="both"/>
              <w:rPr>
                <w:rFonts w:asciiTheme="minorHAnsi" w:hAnsiTheme="minorHAnsi" w:cstheme="minorHAnsi"/>
                <w:lang w:val="fr-FR"/>
              </w:rPr>
            </w:pPr>
            <w:r w:rsidRPr="00B45E47">
              <w:rPr>
                <w:rFonts w:asciiTheme="minorHAnsi" w:hAnsiTheme="minorHAnsi" w:cstheme="minorHAnsi"/>
                <w:lang w:val="fr-FR"/>
              </w:rPr>
              <w:t>•</w:t>
            </w:r>
            <w:r w:rsidRPr="00B45E47">
              <w:rPr>
                <w:rFonts w:asciiTheme="minorHAnsi" w:hAnsiTheme="minorHAnsi" w:cstheme="minorHAnsi"/>
                <w:lang w:val="fr-FR"/>
              </w:rPr>
              <w:tab/>
              <w:t>Toute information suggérant des liens entre l'équipe de terrain et les écogardes d'une part, et le gouvernement et les organisations occidentales d'autre part ne doit pas se retrouver sur internet.</w:t>
            </w:r>
            <w:r>
              <w:rPr>
                <w:rFonts w:asciiTheme="minorHAnsi" w:hAnsiTheme="minorHAnsi" w:cstheme="minorHAnsi"/>
                <w:lang w:val="fr-FR"/>
              </w:rPr>
              <w:t xml:space="preserve"> Ainsi, </w:t>
            </w:r>
            <w:r w:rsidRPr="0003701E">
              <w:rPr>
                <w:rFonts w:asciiTheme="minorHAnsi" w:hAnsiTheme="minorHAnsi" w:cstheme="minorHAnsi"/>
                <w:lang w:val="fr-FR"/>
              </w:rPr>
              <w:t>la plupart des informations sur le site web du projet ont été archivées et le projet ne communique pas sur les réseaux sociaux dans un souci de minimiser le risque d’association entre l’équipe locale et le projet.</w:t>
            </w:r>
          </w:p>
          <w:p w14:paraId="49001DCE" w14:textId="2F25B741" w:rsidR="00B45E47" w:rsidRPr="00B45E47" w:rsidRDefault="00B45E47" w:rsidP="00B45E47">
            <w:pPr>
              <w:suppressAutoHyphens/>
              <w:spacing w:after="120"/>
              <w:jc w:val="both"/>
              <w:rPr>
                <w:rFonts w:asciiTheme="minorHAnsi" w:hAnsiTheme="minorHAnsi" w:cstheme="minorHAnsi"/>
                <w:lang w:val="fr-FR"/>
              </w:rPr>
            </w:pPr>
            <w:r w:rsidRPr="00B45E47">
              <w:rPr>
                <w:rFonts w:asciiTheme="minorHAnsi" w:hAnsiTheme="minorHAnsi" w:cstheme="minorHAnsi"/>
                <w:lang w:val="fr-FR"/>
              </w:rPr>
              <w:t>•</w:t>
            </w:r>
            <w:r w:rsidRPr="00B45E47">
              <w:rPr>
                <w:rFonts w:asciiTheme="minorHAnsi" w:hAnsiTheme="minorHAnsi" w:cstheme="minorHAnsi"/>
                <w:lang w:val="fr-FR"/>
              </w:rPr>
              <w:tab/>
              <w:t>Dans de nombreuses zones rurales, nos écogardes communautaires ne peuvent pas être vus avec des smartphones ou des GPS, de peur d'être accusés d'être des espions</w:t>
            </w:r>
            <w:r w:rsidR="00E93FDC">
              <w:rPr>
                <w:rFonts w:asciiTheme="minorHAnsi" w:hAnsiTheme="minorHAnsi" w:cstheme="minorHAnsi"/>
                <w:lang w:val="fr-FR"/>
              </w:rPr>
              <w:t>, ce qui impose des limites au niveau de la collecte des données notamment.</w:t>
            </w:r>
          </w:p>
          <w:p w14:paraId="24843AC9" w14:textId="77777777" w:rsidR="00B45E47" w:rsidRPr="00B45E47" w:rsidRDefault="00B45E47" w:rsidP="00B45E47">
            <w:pPr>
              <w:suppressAutoHyphens/>
              <w:spacing w:after="120"/>
              <w:jc w:val="both"/>
              <w:rPr>
                <w:rFonts w:asciiTheme="minorHAnsi" w:hAnsiTheme="minorHAnsi" w:cstheme="minorHAnsi"/>
                <w:lang w:val="fr-FR"/>
              </w:rPr>
            </w:pPr>
            <w:r w:rsidRPr="00B45E47">
              <w:rPr>
                <w:rFonts w:asciiTheme="minorHAnsi" w:hAnsiTheme="minorHAnsi" w:cstheme="minorHAnsi"/>
                <w:lang w:val="fr-FR"/>
              </w:rPr>
              <w:t>•</w:t>
            </w:r>
            <w:r w:rsidRPr="00B45E47">
              <w:rPr>
                <w:rFonts w:asciiTheme="minorHAnsi" w:hAnsiTheme="minorHAnsi" w:cstheme="minorHAnsi"/>
                <w:lang w:val="fr-FR"/>
              </w:rPr>
              <w:tab/>
              <w:t xml:space="preserve">Les pylônes téléphoniques sont continuellement sabotés. </w:t>
            </w:r>
          </w:p>
          <w:p w14:paraId="7FCFE76A" w14:textId="23528D5D" w:rsidR="00B45E47" w:rsidRPr="00B45E47" w:rsidRDefault="00B45E47" w:rsidP="00B45E47">
            <w:pPr>
              <w:suppressAutoHyphens/>
              <w:spacing w:after="120"/>
              <w:jc w:val="both"/>
              <w:rPr>
                <w:rFonts w:asciiTheme="minorHAnsi" w:hAnsiTheme="minorHAnsi" w:cstheme="minorHAnsi"/>
                <w:lang w:val="fr-FR"/>
              </w:rPr>
            </w:pPr>
            <w:r w:rsidRPr="00B45E47">
              <w:rPr>
                <w:rFonts w:asciiTheme="minorHAnsi" w:hAnsiTheme="minorHAnsi" w:cstheme="minorHAnsi"/>
                <w:lang w:val="fr-FR"/>
              </w:rPr>
              <w:t>•</w:t>
            </w:r>
            <w:r w:rsidRPr="00B45E47">
              <w:rPr>
                <w:rFonts w:asciiTheme="minorHAnsi" w:hAnsiTheme="minorHAnsi" w:cstheme="minorHAnsi"/>
                <w:lang w:val="fr-FR"/>
              </w:rPr>
              <w:tab/>
              <w:t>Les zones prévues pour les d'activités peuvent soudainement devenir des zones "rouges", ce qui signifie que le projet doit s'adapter pour mener des activités ailleurs ou des types d'activités différent</w:t>
            </w:r>
            <w:r w:rsidR="00D361CB">
              <w:rPr>
                <w:rFonts w:asciiTheme="minorHAnsi" w:hAnsiTheme="minorHAnsi" w:cstheme="minorHAnsi"/>
                <w:lang w:val="fr-FR"/>
              </w:rPr>
              <w:t>s</w:t>
            </w:r>
            <w:r w:rsidRPr="00B45E47">
              <w:rPr>
                <w:rFonts w:asciiTheme="minorHAnsi" w:hAnsiTheme="minorHAnsi" w:cstheme="minorHAnsi"/>
                <w:lang w:val="fr-FR"/>
              </w:rPr>
              <w:t xml:space="preserve">. </w:t>
            </w:r>
          </w:p>
          <w:p w14:paraId="65EDC8C3" w14:textId="77777777" w:rsidR="00B45E47" w:rsidRPr="00B45E47" w:rsidRDefault="00B45E47" w:rsidP="00B45E47">
            <w:pPr>
              <w:suppressAutoHyphens/>
              <w:spacing w:after="120"/>
              <w:jc w:val="both"/>
              <w:rPr>
                <w:rFonts w:asciiTheme="minorHAnsi" w:hAnsiTheme="minorHAnsi" w:cstheme="minorHAnsi"/>
                <w:lang w:val="fr-FR"/>
              </w:rPr>
            </w:pPr>
            <w:r w:rsidRPr="00B45E47">
              <w:rPr>
                <w:rFonts w:asciiTheme="minorHAnsi" w:hAnsiTheme="minorHAnsi" w:cstheme="minorHAnsi"/>
                <w:lang w:val="fr-FR"/>
              </w:rPr>
              <w:t>•</w:t>
            </w:r>
            <w:r w:rsidRPr="00B45E47">
              <w:rPr>
                <w:rFonts w:asciiTheme="minorHAnsi" w:hAnsiTheme="minorHAnsi" w:cstheme="minorHAnsi"/>
                <w:lang w:val="fr-FR"/>
              </w:rPr>
              <w:tab/>
              <w:t xml:space="preserve">Toutes les banques ont fermé, sauf une, et toutes les transactions se font en liquide. L'équipe de terrain ne peut pas utiliser de véhicules car elle risque de tomber dans une embuscade (c'est déjà arrivé). </w:t>
            </w:r>
          </w:p>
          <w:p w14:paraId="6E3BD966" w14:textId="4E33A49F" w:rsidR="00B45E47" w:rsidRPr="00B45E47" w:rsidRDefault="00B45E47" w:rsidP="00B45E47">
            <w:pPr>
              <w:suppressAutoHyphens/>
              <w:spacing w:after="120"/>
              <w:jc w:val="both"/>
              <w:rPr>
                <w:rFonts w:asciiTheme="minorHAnsi" w:hAnsiTheme="minorHAnsi" w:cstheme="minorHAnsi"/>
                <w:lang w:val="fr-FR"/>
              </w:rPr>
            </w:pPr>
            <w:r w:rsidRPr="00B45E47">
              <w:rPr>
                <w:rFonts w:asciiTheme="minorHAnsi" w:hAnsiTheme="minorHAnsi" w:cstheme="minorHAnsi"/>
                <w:lang w:val="fr-FR"/>
              </w:rPr>
              <w:t>•</w:t>
            </w:r>
            <w:r w:rsidRPr="00B45E47">
              <w:rPr>
                <w:rFonts w:asciiTheme="minorHAnsi" w:hAnsiTheme="minorHAnsi" w:cstheme="minorHAnsi"/>
                <w:lang w:val="fr-FR"/>
              </w:rPr>
              <w:tab/>
              <w:t>L'équipe ne peut plus se déplacer librement dans l'aire de répartition des éléphants</w:t>
            </w:r>
            <w:r w:rsidR="00EB4841">
              <w:rPr>
                <w:rFonts w:asciiTheme="minorHAnsi" w:hAnsiTheme="minorHAnsi" w:cstheme="minorHAnsi"/>
                <w:lang w:val="fr-FR"/>
              </w:rPr>
              <w:t xml:space="preserve"> (bien qu’elle dispose, grâce à son réseau d’écogardes, </w:t>
            </w:r>
            <w:r w:rsidRPr="00B45E47">
              <w:rPr>
                <w:rFonts w:asciiTheme="minorHAnsi" w:hAnsiTheme="minorHAnsi" w:cstheme="minorHAnsi"/>
                <w:lang w:val="fr-FR"/>
              </w:rPr>
              <w:t>d'informations détaillées sur les zones</w:t>
            </w:r>
            <w:r w:rsidR="00EB4841">
              <w:rPr>
                <w:rFonts w:asciiTheme="minorHAnsi" w:hAnsiTheme="minorHAnsi" w:cstheme="minorHAnsi"/>
                <w:lang w:val="fr-FR"/>
              </w:rPr>
              <w:t xml:space="preserve"> « rouges » et celles</w:t>
            </w:r>
            <w:r w:rsidRPr="00B45E47">
              <w:rPr>
                <w:rFonts w:asciiTheme="minorHAnsi" w:hAnsiTheme="minorHAnsi" w:cstheme="minorHAnsi"/>
                <w:lang w:val="fr-FR"/>
              </w:rPr>
              <w:t xml:space="preserve"> où l'on peut </w:t>
            </w:r>
            <w:r w:rsidR="00EB4841">
              <w:rPr>
                <w:rFonts w:asciiTheme="minorHAnsi" w:hAnsiTheme="minorHAnsi" w:cstheme="minorHAnsi"/>
                <w:lang w:val="fr-FR"/>
              </w:rPr>
              <w:t xml:space="preserve">encore </w:t>
            </w:r>
            <w:r w:rsidRPr="00B45E47">
              <w:rPr>
                <w:rFonts w:asciiTheme="minorHAnsi" w:hAnsiTheme="minorHAnsi" w:cstheme="minorHAnsi"/>
                <w:lang w:val="fr-FR"/>
              </w:rPr>
              <w:t>se déplacer en</w:t>
            </w:r>
            <w:r w:rsidR="00EB4841">
              <w:rPr>
                <w:rFonts w:asciiTheme="minorHAnsi" w:hAnsiTheme="minorHAnsi" w:cstheme="minorHAnsi"/>
                <w:lang w:val="fr-FR"/>
              </w:rPr>
              <w:t xml:space="preserve"> toute discrétion. Quand ils sont nécessaires, l</w:t>
            </w:r>
            <w:r w:rsidR="00EB4841" w:rsidRPr="0003701E">
              <w:rPr>
                <w:rFonts w:asciiTheme="minorHAnsi" w:hAnsiTheme="minorHAnsi" w:cstheme="minorHAnsi"/>
                <w:lang w:val="fr-FR"/>
              </w:rPr>
              <w:t xml:space="preserve">es déplacements en brousse se font </w:t>
            </w:r>
            <w:r w:rsidR="00EB4841">
              <w:rPr>
                <w:rFonts w:asciiTheme="minorHAnsi" w:hAnsiTheme="minorHAnsi" w:cstheme="minorHAnsi"/>
                <w:lang w:val="fr-FR"/>
              </w:rPr>
              <w:t xml:space="preserve">donc à moto ou </w:t>
            </w:r>
            <w:r w:rsidR="00EB4841" w:rsidRPr="0003701E">
              <w:rPr>
                <w:rFonts w:asciiTheme="minorHAnsi" w:hAnsiTheme="minorHAnsi" w:cstheme="minorHAnsi"/>
                <w:lang w:val="fr-FR"/>
              </w:rPr>
              <w:t xml:space="preserve">en transport en commun, </w:t>
            </w:r>
            <w:r w:rsidR="00EB4841">
              <w:rPr>
                <w:rFonts w:asciiTheme="minorHAnsi" w:hAnsiTheme="minorHAnsi" w:cstheme="minorHAnsi"/>
                <w:lang w:val="fr-FR"/>
              </w:rPr>
              <w:t>en</w:t>
            </w:r>
            <w:r w:rsidR="00EB4841" w:rsidRPr="0003701E">
              <w:rPr>
                <w:rFonts w:asciiTheme="minorHAnsi" w:hAnsiTheme="minorHAnsi" w:cstheme="minorHAnsi"/>
                <w:lang w:val="fr-FR"/>
              </w:rPr>
              <w:t xml:space="preserve"> habits ordinaires ou traditionnels pour se fondre dans la population locale</w:t>
            </w:r>
            <w:r w:rsidR="00EB4841">
              <w:rPr>
                <w:rFonts w:asciiTheme="minorHAnsi" w:hAnsiTheme="minorHAnsi" w:cstheme="minorHAnsi"/>
                <w:lang w:val="fr-FR"/>
              </w:rPr>
              <w:t>)</w:t>
            </w:r>
            <w:r w:rsidR="00EB4841" w:rsidRPr="0003701E">
              <w:rPr>
                <w:rFonts w:asciiTheme="minorHAnsi" w:hAnsiTheme="minorHAnsi" w:cstheme="minorHAnsi"/>
                <w:lang w:val="fr-FR"/>
              </w:rPr>
              <w:t>.</w:t>
            </w:r>
            <w:r w:rsidR="00EB4841">
              <w:rPr>
                <w:rFonts w:asciiTheme="minorHAnsi" w:hAnsiTheme="minorHAnsi" w:cstheme="minorHAnsi"/>
                <w:lang w:val="fr-FR"/>
              </w:rPr>
              <w:t xml:space="preserve"> </w:t>
            </w:r>
            <w:r w:rsidRPr="00B45E47">
              <w:rPr>
                <w:rFonts w:asciiTheme="minorHAnsi" w:hAnsiTheme="minorHAnsi" w:cstheme="minorHAnsi"/>
                <w:lang w:val="fr-FR"/>
              </w:rPr>
              <w:t>Elle a donc conçu</w:t>
            </w:r>
            <w:r w:rsidR="00EB4841">
              <w:rPr>
                <w:rFonts w:asciiTheme="minorHAnsi" w:hAnsiTheme="minorHAnsi" w:cstheme="minorHAnsi"/>
                <w:lang w:val="fr-FR"/>
              </w:rPr>
              <w:t xml:space="preserve"> </w:t>
            </w:r>
            <w:r w:rsidRPr="00B45E47">
              <w:rPr>
                <w:rFonts w:asciiTheme="minorHAnsi" w:hAnsiTheme="minorHAnsi" w:cstheme="minorHAnsi"/>
                <w:lang w:val="fr-FR"/>
              </w:rPr>
              <w:t xml:space="preserve">un moyen d'impliquer l'administration locale et les structures traditionnelles dans la réalisation des résultats du projet, mais cela nécessite de faire sortir les participants de haut rang, comme les maires, de l'aire de répartition des éléphants. </w:t>
            </w:r>
          </w:p>
          <w:p w14:paraId="091001DD" w14:textId="2ECB3CAD" w:rsidR="00B45E47" w:rsidRPr="00B45E47" w:rsidRDefault="00B45E47" w:rsidP="00B45E47">
            <w:pPr>
              <w:suppressAutoHyphens/>
              <w:spacing w:after="120"/>
              <w:jc w:val="both"/>
              <w:rPr>
                <w:rFonts w:asciiTheme="minorHAnsi" w:hAnsiTheme="minorHAnsi" w:cstheme="minorHAnsi"/>
                <w:lang w:val="fr-FR"/>
              </w:rPr>
            </w:pPr>
            <w:r w:rsidRPr="00B45E47">
              <w:rPr>
                <w:rFonts w:asciiTheme="minorHAnsi" w:hAnsiTheme="minorHAnsi" w:cstheme="minorHAnsi"/>
                <w:lang w:val="fr-FR"/>
              </w:rPr>
              <w:t>•</w:t>
            </w:r>
            <w:r w:rsidRPr="00B45E47">
              <w:rPr>
                <w:rFonts w:asciiTheme="minorHAnsi" w:hAnsiTheme="minorHAnsi" w:cstheme="minorHAnsi"/>
                <w:lang w:val="fr-FR"/>
              </w:rPr>
              <w:tab/>
              <w:t xml:space="preserve">Beaucoup de réunions et d’ateliers impliquant les communautés, pas seulement les élus, se tiennent désormais en ville, voire en dehors du Gourma, la présence des groupes </w:t>
            </w:r>
            <w:r w:rsidR="0003701E">
              <w:rPr>
                <w:rFonts w:asciiTheme="minorHAnsi" w:hAnsiTheme="minorHAnsi" w:cstheme="minorHAnsi"/>
                <w:lang w:val="fr-FR"/>
              </w:rPr>
              <w:t>extrémistes</w:t>
            </w:r>
            <w:r w:rsidRPr="00B45E47">
              <w:rPr>
                <w:rFonts w:asciiTheme="minorHAnsi" w:hAnsiTheme="minorHAnsi" w:cstheme="minorHAnsi"/>
                <w:lang w:val="fr-FR"/>
              </w:rPr>
              <w:t xml:space="preserve"> dans les villages rendant l’organisation de ces activités trop risquée, ce qui demande plus de temps, de ressources humaines et de moyens financiers. L’imposition de la charia par les djihadistes limite aussi la participation des femmes aux réunions.</w:t>
            </w:r>
          </w:p>
          <w:p w14:paraId="24E46788" w14:textId="418CA60A" w:rsidR="00B45E47" w:rsidRDefault="00B45E47" w:rsidP="00B45E47">
            <w:pPr>
              <w:suppressAutoHyphens/>
              <w:spacing w:after="120"/>
              <w:jc w:val="both"/>
              <w:rPr>
                <w:rFonts w:asciiTheme="minorHAnsi" w:hAnsiTheme="minorHAnsi" w:cstheme="minorHAnsi"/>
                <w:lang w:val="fr-FR"/>
              </w:rPr>
            </w:pPr>
            <w:r w:rsidRPr="00B45E47">
              <w:rPr>
                <w:rFonts w:asciiTheme="minorHAnsi" w:hAnsiTheme="minorHAnsi" w:cstheme="minorHAnsi"/>
                <w:lang w:val="fr-FR"/>
              </w:rPr>
              <w:t>•</w:t>
            </w:r>
            <w:r w:rsidRPr="00B45E47">
              <w:rPr>
                <w:rFonts w:asciiTheme="minorHAnsi" w:hAnsiTheme="minorHAnsi" w:cstheme="minorHAnsi"/>
                <w:lang w:val="fr-FR"/>
              </w:rPr>
              <w:tab/>
              <w:t>Les difficultés supplémentaires augmentent considérablement la charge de travail administrative et logistique alors que le budget n'augmente pas.</w:t>
            </w:r>
          </w:p>
          <w:p w14:paraId="3F1014EA" w14:textId="47921DF3" w:rsidR="003E710F" w:rsidRPr="00E93FDC" w:rsidRDefault="003E710F" w:rsidP="003E710F">
            <w:pPr>
              <w:suppressAutoHyphens/>
              <w:spacing w:after="120"/>
              <w:jc w:val="both"/>
              <w:rPr>
                <w:rFonts w:asciiTheme="minorHAnsi" w:hAnsiTheme="minorHAnsi" w:cstheme="minorHAnsi"/>
                <w:b/>
                <w:bCs/>
                <w:lang w:val="fr-FR"/>
              </w:rPr>
            </w:pPr>
            <w:r w:rsidRPr="00E93FDC">
              <w:rPr>
                <w:rFonts w:asciiTheme="minorHAnsi" w:hAnsiTheme="minorHAnsi" w:cstheme="minorHAnsi"/>
                <w:b/>
                <w:bCs/>
                <w:lang w:val="fr-FR"/>
              </w:rPr>
              <w:t>Sanctions économiques</w:t>
            </w:r>
          </w:p>
          <w:p w14:paraId="1D1102A3" w14:textId="0DF6E157" w:rsidR="003E710F" w:rsidRPr="003E710F" w:rsidRDefault="003E710F" w:rsidP="003E710F">
            <w:pPr>
              <w:suppressAutoHyphens/>
              <w:spacing w:after="120"/>
              <w:jc w:val="both"/>
              <w:rPr>
                <w:rFonts w:asciiTheme="minorHAnsi" w:hAnsiTheme="minorHAnsi" w:cstheme="minorHAnsi"/>
                <w:lang w:val="fr-FR"/>
              </w:rPr>
            </w:pPr>
            <w:r w:rsidRPr="003E710F">
              <w:rPr>
                <w:rFonts w:asciiTheme="minorHAnsi" w:hAnsiTheme="minorHAnsi" w:cstheme="minorHAnsi"/>
                <w:lang w:val="fr-FR"/>
              </w:rPr>
              <w:t xml:space="preserve">Les sanctions économiques du début d’année à l’encontre du Mali ont </w:t>
            </w:r>
            <w:proofErr w:type="gramStart"/>
            <w:r w:rsidRPr="003E710F">
              <w:rPr>
                <w:rFonts w:asciiTheme="minorHAnsi" w:hAnsiTheme="minorHAnsi" w:cstheme="minorHAnsi"/>
                <w:lang w:val="fr-FR"/>
              </w:rPr>
              <w:t>eu</w:t>
            </w:r>
            <w:proofErr w:type="gramEnd"/>
            <w:r w:rsidRPr="003E710F">
              <w:rPr>
                <w:rFonts w:asciiTheme="minorHAnsi" w:hAnsiTheme="minorHAnsi" w:cstheme="minorHAnsi"/>
                <w:lang w:val="fr-FR"/>
              </w:rPr>
              <w:t xml:space="preserve"> une répercussion directe sur le projet en empêchant de facto les virements de fonds destinés à la mise en œuvre des activités de terrain et au salaire du personnel local. </w:t>
            </w:r>
            <w:r w:rsidR="002D56FF">
              <w:rPr>
                <w:rFonts w:asciiTheme="minorHAnsi" w:hAnsiTheme="minorHAnsi" w:cstheme="minorHAnsi"/>
                <w:lang w:val="fr-FR"/>
              </w:rPr>
              <w:t>Ainsi, l</w:t>
            </w:r>
            <w:r w:rsidR="002D56FF" w:rsidRPr="002D56FF">
              <w:rPr>
                <w:rFonts w:asciiTheme="minorHAnsi" w:hAnsiTheme="minorHAnsi" w:cstheme="minorHAnsi"/>
                <w:lang w:val="fr-FR"/>
              </w:rPr>
              <w:t>e personnel local n’a pas été payé et les activités communautaires ont été suspendues pendant trois moi</w:t>
            </w:r>
            <w:r w:rsidR="00D361CB">
              <w:rPr>
                <w:rFonts w:asciiTheme="minorHAnsi" w:hAnsiTheme="minorHAnsi" w:cstheme="minorHAnsi"/>
                <w:lang w:val="fr-FR"/>
              </w:rPr>
              <w:t>s</w:t>
            </w:r>
            <w:r w:rsidRPr="003E710F">
              <w:rPr>
                <w:rFonts w:asciiTheme="minorHAnsi" w:hAnsiTheme="minorHAnsi" w:cstheme="minorHAnsi"/>
                <w:lang w:val="fr-FR"/>
              </w:rPr>
              <w:t>, le temps que le projet trouve une solution pour transférer les fonds.</w:t>
            </w:r>
            <w:r w:rsidR="00116C1F">
              <w:rPr>
                <w:rFonts w:asciiTheme="minorHAnsi" w:hAnsiTheme="minorHAnsi" w:cstheme="minorHAnsi"/>
                <w:lang w:val="fr-FR"/>
              </w:rPr>
              <w:t xml:space="preserve"> </w:t>
            </w:r>
            <w:r w:rsidR="002D56FF">
              <w:rPr>
                <w:rFonts w:asciiTheme="minorHAnsi" w:hAnsiTheme="minorHAnsi" w:cstheme="minorHAnsi"/>
                <w:lang w:val="fr-FR"/>
              </w:rPr>
              <w:t>D’un point de vue opérationnel, c</w:t>
            </w:r>
            <w:r w:rsidR="00116C1F">
              <w:rPr>
                <w:rFonts w:asciiTheme="minorHAnsi" w:hAnsiTheme="minorHAnsi" w:cstheme="minorHAnsi"/>
                <w:lang w:val="fr-FR"/>
              </w:rPr>
              <w:t>eci n’a fait qu’accentuer le retard déjà accusé par le processus d’élaboration et de validation des mesures de sauvegarde courant 2021, en retardant un peu plus la réalisation de certaines</w:t>
            </w:r>
            <w:r w:rsidR="00D04864">
              <w:rPr>
                <w:rFonts w:asciiTheme="minorHAnsi" w:hAnsiTheme="minorHAnsi" w:cstheme="minorHAnsi"/>
                <w:lang w:val="fr-FR"/>
              </w:rPr>
              <w:t xml:space="preserve"> </w:t>
            </w:r>
            <w:r w:rsidR="00116C1F">
              <w:rPr>
                <w:rFonts w:asciiTheme="minorHAnsi" w:hAnsiTheme="minorHAnsi" w:cstheme="minorHAnsi"/>
                <w:lang w:val="fr-FR"/>
              </w:rPr>
              <w:t>activités phares, telles que les AGR.</w:t>
            </w:r>
          </w:p>
          <w:p w14:paraId="4669849A" w14:textId="331049AD" w:rsidR="00907CB6" w:rsidRPr="00E93FDC" w:rsidRDefault="003E710F" w:rsidP="00907CB6">
            <w:pPr>
              <w:suppressAutoHyphens/>
              <w:spacing w:after="120"/>
              <w:jc w:val="both"/>
              <w:rPr>
                <w:rFonts w:asciiTheme="minorHAnsi" w:hAnsiTheme="minorHAnsi" w:cstheme="minorHAnsi"/>
                <w:b/>
                <w:bCs/>
                <w:lang w:val="fr-FR"/>
              </w:rPr>
            </w:pPr>
            <w:r w:rsidRPr="00E93FDC">
              <w:rPr>
                <w:rFonts w:asciiTheme="minorHAnsi" w:hAnsiTheme="minorHAnsi" w:cstheme="minorHAnsi"/>
                <w:b/>
                <w:bCs/>
                <w:lang w:val="fr-FR"/>
              </w:rPr>
              <w:lastRenderedPageBreak/>
              <w:t>Manque</w:t>
            </w:r>
            <w:r w:rsidR="00907CB6" w:rsidRPr="00E93FDC">
              <w:rPr>
                <w:rFonts w:asciiTheme="minorHAnsi" w:hAnsiTheme="minorHAnsi" w:cstheme="minorHAnsi"/>
                <w:b/>
                <w:bCs/>
                <w:lang w:val="fr-FR"/>
              </w:rPr>
              <w:t xml:space="preserve"> </w:t>
            </w:r>
            <w:r w:rsidRPr="00E93FDC">
              <w:rPr>
                <w:rFonts w:asciiTheme="minorHAnsi" w:hAnsiTheme="minorHAnsi" w:cstheme="minorHAnsi"/>
                <w:b/>
                <w:bCs/>
                <w:lang w:val="fr-FR"/>
              </w:rPr>
              <w:t>de visibilité et difficulté à communiquer les réalisations et les leçons tirées du projet</w:t>
            </w:r>
          </w:p>
          <w:p w14:paraId="309EE8C7" w14:textId="399C4585" w:rsidR="003E710F" w:rsidRDefault="00907CB6" w:rsidP="00907CB6">
            <w:pPr>
              <w:suppressAutoHyphens/>
              <w:spacing w:after="120"/>
              <w:jc w:val="both"/>
              <w:rPr>
                <w:rFonts w:asciiTheme="minorHAnsi" w:hAnsiTheme="minorHAnsi" w:cstheme="minorHAnsi"/>
                <w:lang w:val="fr-FR"/>
              </w:rPr>
            </w:pPr>
            <w:r w:rsidRPr="00907CB6">
              <w:rPr>
                <w:rFonts w:asciiTheme="minorHAnsi" w:hAnsiTheme="minorHAnsi" w:cstheme="minorHAnsi"/>
                <w:lang w:val="fr-FR"/>
              </w:rPr>
              <w:t xml:space="preserve">Le projet a obtenu des résultats significatifs, mais est confronté </w:t>
            </w:r>
            <w:r>
              <w:rPr>
                <w:rFonts w:asciiTheme="minorHAnsi" w:hAnsiTheme="minorHAnsi" w:cstheme="minorHAnsi"/>
                <w:lang w:val="fr-FR"/>
              </w:rPr>
              <w:t>à un problème de visibilité</w:t>
            </w:r>
            <w:r w:rsidRPr="00907CB6">
              <w:rPr>
                <w:rFonts w:asciiTheme="minorHAnsi" w:hAnsiTheme="minorHAnsi" w:cstheme="minorHAnsi"/>
                <w:lang w:val="fr-FR"/>
              </w:rPr>
              <w:t xml:space="preserve"> parce que (a) les gens ne peuvent pas visiter le projet ; (</w:t>
            </w:r>
            <w:r w:rsidR="00307AFE">
              <w:rPr>
                <w:rFonts w:asciiTheme="minorHAnsi" w:hAnsiTheme="minorHAnsi" w:cstheme="minorHAnsi"/>
                <w:lang w:val="fr-FR"/>
              </w:rPr>
              <w:t>b</w:t>
            </w:r>
            <w:r w:rsidRPr="00907CB6">
              <w:rPr>
                <w:rFonts w:asciiTheme="minorHAnsi" w:hAnsiTheme="minorHAnsi" w:cstheme="minorHAnsi"/>
                <w:lang w:val="fr-FR"/>
              </w:rPr>
              <w:t>) nous ne pouvons pas communiquer ouvertement sur internet ou d'autres médias publics, par souci de protéger l'équipe de terrain</w:t>
            </w:r>
            <w:r>
              <w:rPr>
                <w:rFonts w:asciiTheme="minorHAnsi" w:hAnsiTheme="minorHAnsi" w:cstheme="minorHAnsi"/>
                <w:lang w:val="fr-FR"/>
              </w:rPr>
              <w:t xml:space="preserve">. </w:t>
            </w:r>
            <w:r w:rsidRPr="00907CB6">
              <w:rPr>
                <w:rFonts w:asciiTheme="minorHAnsi" w:hAnsiTheme="minorHAnsi" w:cstheme="minorHAnsi"/>
                <w:lang w:val="fr-FR"/>
              </w:rPr>
              <w:t>En conséquence, les réalisations importantes du projet et les leçons apprises ne sont pas appréciées à leur juste valeur, bien que l</w:t>
            </w:r>
            <w:r>
              <w:rPr>
                <w:rFonts w:asciiTheme="minorHAnsi" w:hAnsiTheme="minorHAnsi" w:cstheme="minorHAnsi"/>
                <w:lang w:val="fr-FR"/>
              </w:rPr>
              <w:t xml:space="preserve">’approche du </w:t>
            </w:r>
            <w:r w:rsidR="00007B86">
              <w:rPr>
                <w:rFonts w:asciiTheme="minorHAnsi" w:hAnsiTheme="minorHAnsi" w:cstheme="minorHAnsi"/>
                <w:lang w:val="fr-FR"/>
              </w:rPr>
              <w:t>projet s’inscrive parfaitement dans le discours actuel et la nouvelle façon de penser la conservation.</w:t>
            </w:r>
          </w:p>
          <w:p w14:paraId="27CC1E47" w14:textId="3B23D1D0" w:rsidR="00007B86" w:rsidRPr="00E93FDC" w:rsidRDefault="00007B86" w:rsidP="00C66F14">
            <w:pPr>
              <w:suppressAutoHyphens/>
              <w:spacing w:after="120"/>
              <w:jc w:val="both"/>
              <w:rPr>
                <w:rFonts w:asciiTheme="minorHAnsi" w:hAnsiTheme="minorHAnsi" w:cstheme="minorHAnsi"/>
                <w:b/>
                <w:bCs/>
                <w:lang w:val="fr-FR"/>
              </w:rPr>
            </w:pPr>
            <w:r w:rsidRPr="00E93FDC">
              <w:rPr>
                <w:rFonts w:asciiTheme="minorHAnsi" w:hAnsiTheme="minorHAnsi" w:cstheme="minorHAnsi"/>
                <w:b/>
                <w:bCs/>
                <w:lang w:val="fr-FR"/>
              </w:rPr>
              <w:t>L’exploitation illégale de l’or</w:t>
            </w:r>
          </w:p>
          <w:p w14:paraId="6A8329D8" w14:textId="6834F1E0" w:rsidR="00007B86" w:rsidRDefault="00007B86" w:rsidP="00C66F14">
            <w:pPr>
              <w:suppressAutoHyphens/>
              <w:spacing w:after="120"/>
              <w:jc w:val="both"/>
              <w:rPr>
                <w:rFonts w:asciiTheme="minorHAnsi" w:hAnsiTheme="minorHAnsi" w:cstheme="minorHAnsi"/>
                <w:lang w:val="fr-FR"/>
              </w:rPr>
            </w:pPr>
            <w:r>
              <w:rPr>
                <w:rFonts w:asciiTheme="minorHAnsi" w:hAnsiTheme="minorHAnsi" w:cstheme="minorHAnsi"/>
                <w:lang w:val="fr-FR"/>
              </w:rPr>
              <w:t>L’exploitation illégale de l’or</w:t>
            </w:r>
            <w:r w:rsidRPr="00007B86">
              <w:rPr>
                <w:rFonts w:asciiTheme="minorHAnsi" w:hAnsiTheme="minorHAnsi" w:cstheme="minorHAnsi"/>
                <w:lang w:val="fr-FR"/>
              </w:rPr>
              <w:t>,</w:t>
            </w:r>
            <w:r>
              <w:rPr>
                <w:rFonts w:asciiTheme="minorHAnsi" w:hAnsiTheme="minorHAnsi" w:cstheme="minorHAnsi"/>
                <w:lang w:val="fr-FR"/>
              </w:rPr>
              <w:t xml:space="preserve"> à l’intérieur même des limites de la nouvelle réserve et de ses zones centrales, demeure un problème urgent à régler. Elle</w:t>
            </w:r>
            <w:r w:rsidRPr="00007B86">
              <w:rPr>
                <w:rFonts w:asciiTheme="minorHAnsi" w:hAnsiTheme="minorHAnsi" w:cstheme="minorHAnsi"/>
                <w:lang w:val="fr-FR"/>
              </w:rPr>
              <w:t xml:space="preserve"> impliqu</w:t>
            </w:r>
            <w:r>
              <w:rPr>
                <w:rFonts w:asciiTheme="minorHAnsi" w:hAnsiTheme="minorHAnsi" w:cstheme="minorHAnsi"/>
                <w:lang w:val="fr-FR"/>
              </w:rPr>
              <w:t xml:space="preserve">e notamment </w:t>
            </w:r>
            <w:r w:rsidRPr="00007B86">
              <w:rPr>
                <w:rFonts w:asciiTheme="minorHAnsi" w:hAnsiTheme="minorHAnsi" w:cstheme="minorHAnsi"/>
                <w:lang w:val="fr-FR"/>
              </w:rPr>
              <w:t>l’utilisation de produits chimiques toxiques tels que le cyanure et le mercure, et l’extraction massive d’eau en provenance des mares locales</w:t>
            </w:r>
            <w:r>
              <w:rPr>
                <w:rFonts w:asciiTheme="minorHAnsi" w:hAnsiTheme="minorHAnsi" w:cstheme="minorHAnsi"/>
                <w:lang w:val="fr-FR"/>
              </w:rPr>
              <w:t xml:space="preserve"> dont dépendent les populations locales et les animaux</w:t>
            </w:r>
            <w:r w:rsidRPr="00007B86">
              <w:rPr>
                <w:rFonts w:asciiTheme="minorHAnsi" w:hAnsiTheme="minorHAnsi" w:cstheme="minorHAnsi"/>
                <w:lang w:val="fr-FR"/>
              </w:rPr>
              <w:t xml:space="preserve">. Elle représente </w:t>
            </w:r>
            <w:r>
              <w:rPr>
                <w:rFonts w:asciiTheme="minorHAnsi" w:hAnsiTheme="minorHAnsi" w:cstheme="minorHAnsi"/>
                <w:lang w:val="fr-FR"/>
              </w:rPr>
              <w:t xml:space="preserve">à ce titre </w:t>
            </w:r>
            <w:r w:rsidRPr="00007B86">
              <w:rPr>
                <w:rFonts w:asciiTheme="minorHAnsi" w:hAnsiTheme="minorHAnsi" w:cstheme="minorHAnsi"/>
                <w:lang w:val="fr-FR"/>
              </w:rPr>
              <w:t>une menace sanitaire, environnementale et sécuritaire (les sites d’orpaillage sont contrôlés par les groupes armés) très inquiétante pour les populations locales, leur bétail et la faune sauvage.</w:t>
            </w:r>
            <w:r>
              <w:rPr>
                <w:rFonts w:asciiTheme="minorHAnsi" w:hAnsiTheme="minorHAnsi" w:cstheme="minorHAnsi"/>
                <w:lang w:val="fr-FR"/>
              </w:rPr>
              <w:t xml:space="preserve"> Elle porte également atteinte à l’intégrité de la nouvelle réserve.</w:t>
            </w:r>
          </w:p>
          <w:p w14:paraId="69BEFA6E" w14:textId="4161350A" w:rsidR="00007B86" w:rsidRDefault="00007B86" w:rsidP="003E710F">
            <w:pPr>
              <w:suppressAutoHyphens/>
              <w:spacing w:after="120"/>
              <w:jc w:val="both"/>
              <w:rPr>
                <w:rFonts w:asciiTheme="minorHAnsi" w:hAnsiTheme="minorHAnsi" w:cstheme="minorHAnsi"/>
                <w:lang w:val="fr-FR"/>
              </w:rPr>
            </w:pPr>
            <w:r w:rsidRPr="00007B86">
              <w:rPr>
                <w:rFonts w:asciiTheme="minorHAnsi" w:hAnsiTheme="minorHAnsi" w:cstheme="minorHAnsi"/>
                <w:lang w:val="fr-FR"/>
              </w:rPr>
              <w:t xml:space="preserve">Le projet suit de près l’évolution de la situation sur le terrain et poursuit ses interventions auprès des ministères concernés (Direction générale de la géologie et des mines (DNGM), </w:t>
            </w:r>
            <w:proofErr w:type="gramStart"/>
            <w:r w:rsidR="003522B7">
              <w:rPr>
                <w:rFonts w:asciiTheme="minorHAnsi" w:hAnsiTheme="minorHAnsi" w:cstheme="minorHAnsi"/>
                <w:lang w:val="fr-FR"/>
              </w:rPr>
              <w:t>M</w:t>
            </w:r>
            <w:r w:rsidRPr="00007B86">
              <w:rPr>
                <w:rFonts w:asciiTheme="minorHAnsi" w:hAnsiTheme="minorHAnsi" w:cstheme="minorHAnsi"/>
                <w:lang w:val="fr-FR"/>
              </w:rPr>
              <w:t>inistère</w:t>
            </w:r>
            <w:proofErr w:type="gramEnd"/>
            <w:r w:rsidRPr="00007B86">
              <w:rPr>
                <w:rFonts w:asciiTheme="minorHAnsi" w:hAnsiTheme="minorHAnsi" w:cstheme="minorHAnsi"/>
                <w:lang w:val="fr-FR"/>
              </w:rPr>
              <w:t xml:space="preserve"> des Mines, </w:t>
            </w:r>
            <w:r w:rsidR="003522B7">
              <w:rPr>
                <w:rFonts w:asciiTheme="minorHAnsi" w:hAnsiTheme="minorHAnsi" w:cstheme="minorHAnsi"/>
                <w:lang w:val="fr-FR"/>
              </w:rPr>
              <w:t>M</w:t>
            </w:r>
            <w:r w:rsidRPr="00007B86">
              <w:rPr>
                <w:rFonts w:asciiTheme="minorHAnsi" w:hAnsiTheme="minorHAnsi" w:cstheme="minorHAnsi"/>
                <w:lang w:val="fr-FR"/>
              </w:rPr>
              <w:t>inistère de la Sécurité et la Protection Civile) pour obtenir leur appui</w:t>
            </w:r>
            <w:r w:rsidR="002D56FF">
              <w:rPr>
                <w:rFonts w:asciiTheme="minorHAnsi" w:hAnsiTheme="minorHAnsi" w:cstheme="minorHAnsi"/>
                <w:lang w:val="fr-FR"/>
              </w:rPr>
              <w:t xml:space="preserve">. Il est crucial que </w:t>
            </w:r>
            <w:r w:rsidRPr="00007B86">
              <w:rPr>
                <w:rFonts w:asciiTheme="minorHAnsi" w:hAnsiTheme="minorHAnsi" w:cstheme="minorHAnsi"/>
                <w:lang w:val="fr-FR"/>
              </w:rPr>
              <w:t xml:space="preserve">l’État malien </w:t>
            </w:r>
            <w:r w:rsidR="002D56FF">
              <w:rPr>
                <w:rFonts w:asciiTheme="minorHAnsi" w:hAnsiTheme="minorHAnsi" w:cstheme="minorHAnsi"/>
                <w:lang w:val="fr-FR"/>
              </w:rPr>
              <w:t>prenne</w:t>
            </w:r>
            <w:r w:rsidRPr="00007B86">
              <w:rPr>
                <w:rFonts w:asciiTheme="minorHAnsi" w:hAnsiTheme="minorHAnsi" w:cstheme="minorHAnsi"/>
                <w:lang w:val="fr-FR"/>
              </w:rPr>
              <w:t xml:space="preserve"> ses responsabilités pour assurer le respect de la législation de la </w:t>
            </w:r>
            <w:r w:rsidR="002D56FF">
              <w:rPr>
                <w:rFonts w:asciiTheme="minorHAnsi" w:hAnsiTheme="minorHAnsi" w:cstheme="minorHAnsi"/>
                <w:lang w:val="fr-FR"/>
              </w:rPr>
              <w:t>r</w:t>
            </w:r>
            <w:r w:rsidRPr="00007B86">
              <w:rPr>
                <w:rFonts w:asciiTheme="minorHAnsi" w:hAnsiTheme="minorHAnsi" w:cstheme="minorHAnsi"/>
                <w:lang w:val="fr-FR"/>
              </w:rPr>
              <w:t xml:space="preserve">éserve et la protection des ressources naturelles qui y sont associées, notamment les zones centrales, avant qu’il ne soit trop tard. Ceci implique l’éviction des orpailleurs. Les PTF doivent </w:t>
            </w:r>
            <w:r w:rsidR="00C01DE0">
              <w:rPr>
                <w:rFonts w:asciiTheme="minorHAnsi" w:hAnsiTheme="minorHAnsi" w:cstheme="minorHAnsi"/>
                <w:lang w:val="fr-FR"/>
              </w:rPr>
              <w:t xml:space="preserve">aussi </w:t>
            </w:r>
            <w:r w:rsidRPr="00007B86">
              <w:rPr>
                <w:rFonts w:asciiTheme="minorHAnsi" w:hAnsiTheme="minorHAnsi" w:cstheme="minorHAnsi"/>
                <w:lang w:val="fr-FR"/>
              </w:rPr>
              <w:t>soutenir l’éviction des orpailleurs actuellement à l’intérieur de la réserve ainsi que les initiatives d’engagement communautaire afin de contrôler toute activité minière susceptible de survenir à l’extérieur.</w:t>
            </w:r>
          </w:p>
          <w:p w14:paraId="52432D19" w14:textId="77777777" w:rsidR="002D56FF" w:rsidRPr="00E93FDC" w:rsidRDefault="002D56FF" w:rsidP="00C66F14">
            <w:pPr>
              <w:suppressAutoHyphens/>
              <w:spacing w:after="120"/>
              <w:jc w:val="both"/>
              <w:rPr>
                <w:rFonts w:asciiTheme="minorHAnsi" w:hAnsiTheme="minorHAnsi" w:cstheme="minorHAnsi"/>
                <w:b/>
                <w:bCs/>
                <w:lang w:val="fr-FR"/>
              </w:rPr>
            </w:pPr>
            <w:r w:rsidRPr="00E93FDC">
              <w:rPr>
                <w:rFonts w:asciiTheme="minorHAnsi" w:hAnsiTheme="minorHAnsi" w:cstheme="minorHAnsi"/>
                <w:b/>
                <w:bCs/>
                <w:lang w:val="fr-FR"/>
              </w:rPr>
              <w:t>Difficultés de communication liées aux coupures de courant et du réseau internet</w:t>
            </w:r>
          </w:p>
          <w:p w14:paraId="42993833" w14:textId="7B0FC234" w:rsidR="00215F7A" w:rsidRPr="00C66F14" w:rsidRDefault="002D56FF" w:rsidP="00C66F14">
            <w:pPr>
              <w:suppressAutoHyphens/>
              <w:spacing w:after="120"/>
              <w:jc w:val="both"/>
              <w:rPr>
                <w:rFonts w:asciiTheme="minorHAnsi" w:hAnsiTheme="minorHAnsi" w:cstheme="minorHAnsi"/>
                <w:lang w:val="fr-FR"/>
              </w:rPr>
            </w:pPr>
            <w:r>
              <w:rPr>
                <w:rFonts w:asciiTheme="minorHAnsi" w:hAnsiTheme="minorHAnsi" w:cstheme="minorHAnsi"/>
                <w:lang w:val="fr-FR"/>
              </w:rPr>
              <w:t xml:space="preserve">Sur le terrain, ces coupures sont régulières et sont </w:t>
            </w:r>
            <w:r w:rsidRPr="002D56FF">
              <w:rPr>
                <w:rFonts w:asciiTheme="minorHAnsi" w:hAnsiTheme="minorHAnsi" w:cstheme="minorHAnsi"/>
                <w:lang w:val="fr-FR"/>
              </w:rPr>
              <w:t>parfois le résultat de sabotage par les groupes armés</w:t>
            </w:r>
            <w:r>
              <w:rPr>
                <w:rFonts w:asciiTheme="minorHAnsi" w:hAnsiTheme="minorHAnsi" w:cstheme="minorHAnsi"/>
                <w:lang w:val="fr-FR"/>
              </w:rPr>
              <w:t xml:space="preserve">. </w:t>
            </w:r>
            <w:r w:rsidR="00CD33B3">
              <w:rPr>
                <w:rFonts w:asciiTheme="minorHAnsi" w:hAnsiTheme="minorHAnsi" w:cstheme="minorHAnsi"/>
                <w:lang w:val="fr-FR"/>
              </w:rPr>
              <w:t>Elles</w:t>
            </w:r>
            <w:r w:rsidRPr="002D56FF">
              <w:rPr>
                <w:rFonts w:asciiTheme="minorHAnsi" w:hAnsiTheme="minorHAnsi" w:cstheme="minorHAnsi"/>
                <w:lang w:val="fr-FR"/>
              </w:rPr>
              <w:t xml:space="preserve"> peuvent</w:t>
            </w:r>
            <w:r w:rsidR="00CD33B3">
              <w:rPr>
                <w:rFonts w:asciiTheme="minorHAnsi" w:hAnsiTheme="minorHAnsi" w:cstheme="minorHAnsi"/>
                <w:lang w:val="fr-FR"/>
              </w:rPr>
              <w:t>,</w:t>
            </w:r>
            <w:r w:rsidRPr="002D56FF">
              <w:rPr>
                <w:rFonts w:asciiTheme="minorHAnsi" w:hAnsiTheme="minorHAnsi" w:cstheme="minorHAnsi"/>
                <w:lang w:val="fr-FR"/>
              </w:rPr>
              <w:t xml:space="preserve"> </w:t>
            </w:r>
            <w:r w:rsidR="00CD33B3">
              <w:rPr>
                <w:rFonts w:asciiTheme="minorHAnsi" w:hAnsiTheme="minorHAnsi" w:cstheme="minorHAnsi"/>
                <w:lang w:val="fr-FR"/>
              </w:rPr>
              <w:t xml:space="preserve">par moment, </w:t>
            </w:r>
            <w:r w:rsidRPr="002D56FF">
              <w:rPr>
                <w:rFonts w:asciiTheme="minorHAnsi" w:hAnsiTheme="minorHAnsi" w:cstheme="minorHAnsi"/>
                <w:lang w:val="fr-FR"/>
              </w:rPr>
              <w:t xml:space="preserve">rendre la communication difficile </w:t>
            </w:r>
            <w:r w:rsidR="00CD33B3">
              <w:rPr>
                <w:rFonts w:asciiTheme="minorHAnsi" w:hAnsiTheme="minorHAnsi" w:cstheme="minorHAnsi"/>
                <w:lang w:val="fr-FR"/>
              </w:rPr>
              <w:t>entre les deux équipes. Les questions urgentes se gèrent alors au</w:t>
            </w:r>
            <w:r w:rsidRPr="002D56FF">
              <w:rPr>
                <w:rFonts w:asciiTheme="minorHAnsi" w:hAnsiTheme="minorHAnsi" w:cstheme="minorHAnsi"/>
                <w:lang w:val="fr-FR"/>
              </w:rPr>
              <w:t xml:space="preserve"> téléphone et l’équipe britannique au complet se rend au Mali au moins une fois par an pour rencontrer l’équipe locale (la directrice trois à quatre fois).</w:t>
            </w:r>
          </w:p>
        </w:tc>
      </w:tr>
    </w:tbl>
    <w:p w14:paraId="2DE85A2F" w14:textId="77777777" w:rsidR="0067244C" w:rsidRPr="008B3D50" w:rsidRDefault="0067244C" w:rsidP="00D1721E">
      <w:pPr>
        <w:spacing w:line="360" w:lineRule="auto"/>
        <w:rPr>
          <w:sz w:val="24"/>
          <w:szCs w:val="24"/>
          <w:lang w:val="fr-FR" w:bidi="ar-JO"/>
        </w:rPr>
      </w:pPr>
    </w:p>
    <w:tbl>
      <w:tblPr>
        <w:tblW w:w="10283"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3"/>
      </w:tblGrid>
      <w:tr w:rsidR="00D1721E" w:rsidRPr="00135BB1" w14:paraId="1D3A0DB0" w14:textId="77777777" w:rsidTr="00715FFF">
        <w:tc>
          <w:tcPr>
            <w:tcW w:w="10283" w:type="dxa"/>
            <w:shd w:val="clear" w:color="auto" w:fill="BDD6EE"/>
          </w:tcPr>
          <w:p w14:paraId="45D87CD7" w14:textId="77777777" w:rsidR="00D1721E" w:rsidRPr="00135BB1" w:rsidRDefault="001B22F7" w:rsidP="0015616F">
            <w:pPr>
              <w:numPr>
                <w:ilvl w:val="0"/>
                <w:numId w:val="2"/>
              </w:numPr>
              <w:suppressAutoHyphens/>
              <w:spacing w:after="120" w:line="240" w:lineRule="auto"/>
              <w:rPr>
                <w:b/>
                <w:bCs/>
                <w:sz w:val="24"/>
                <w:szCs w:val="24"/>
                <w:lang w:val="fr-FR"/>
              </w:rPr>
            </w:pPr>
            <w:bookmarkStart w:id="2" w:name="_Hlk528127377"/>
            <w:r w:rsidRPr="00135BB1">
              <w:rPr>
                <w:b/>
                <w:bCs/>
                <w:sz w:val="24"/>
                <w:szCs w:val="24"/>
                <w:lang w:val="fr-FR"/>
              </w:rPr>
              <w:t>Gestion des partenariats</w:t>
            </w:r>
          </w:p>
        </w:tc>
      </w:tr>
      <w:tr w:rsidR="00D1721E" w:rsidRPr="00B12AE6" w14:paraId="07F4AF5A" w14:textId="77777777" w:rsidTr="00032E20">
        <w:tc>
          <w:tcPr>
            <w:tcW w:w="10283" w:type="dxa"/>
            <w:shd w:val="clear" w:color="auto" w:fill="auto"/>
          </w:tcPr>
          <w:p w14:paraId="572BDAA6" w14:textId="77777777" w:rsidR="00032E20" w:rsidRPr="00135BB1" w:rsidRDefault="001B22F7" w:rsidP="00CB72F6">
            <w:pPr>
              <w:pStyle w:val="Paragraphedeliste"/>
              <w:spacing w:after="0" w:line="240" w:lineRule="auto"/>
              <w:ind w:left="0"/>
              <w:jc w:val="both"/>
              <w:rPr>
                <w:rFonts w:cs="Times New Roman"/>
                <w:i/>
                <w:lang w:val="fr-FR"/>
              </w:rPr>
            </w:pPr>
            <w:r w:rsidRPr="00135BB1">
              <w:rPr>
                <w:rFonts w:cs="Times New Roman"/>
                <w:i/>
                <w:lang w:val="fr-FR"/>
              </w:rPr>
              <w:t xml:space="preserve">Comment évaluez-vous la relation entre votre organisation et les autorités </w:t>
            </w:r>
            <w:r w:rsidR="00555BBD" w:rsidRPr="00135BB1">
              <w:rPr>
                <w:rFonts w:cs="Times New Roman"/>
                <w:i/>
                <w:lang w:val="fr-FR"/>
              </w:rPr>
              <w:t>étatiques ?</w:t>
            </w:r>
            <w:r w:rsidRPr="00135BB1">
              <w:rPr>
                <w:rFonts w:cs="Times New Roman"/>
                <w:i/>
                <w:lang w:val="fr-FR"/>
              </w:rPr>
              <w:t xml:space="preserve"> Comment cette relation a-t-elle affecté </w:t>
            </w:r>
            <w:r w:rsidR="00555BBD" w:rsidRPr="00135BB1">
              <w:rPr>
                <w:rFonts w:cs="Times New Roman"/>
                <w:i/>
                <w:lang w:val="fr-FR"/>
              </w:rPr>
              <w:t>l’action ?</w:t>
            </w:r>
            <w:r w:rsidRPr="00135BB1">
              <w:rPr>
                <w:rFonts w:cs="Times New Roman"/>
                <w:i/>
                <w:lang w:val="fr-FR"/>
              </w:rPr>
              <w:t xml:space="preserve"> Le cas échéant, décrivez votre relation avec toute autre organisation impliquée dans la mise en œuvre de l'action.</w:t>
            </w:r>
          </w:p>
          <w:p w14:paraId="486FF79C" w14:textId="77777777" w:rsidR="00555BBD" w:rsidRPr="00135BB1" w:rsidRDefault="00555BBD" w:rsidP="00CB72F6">
            <w:pPr>
              <w:pStyle w:val="Paragraphedeliste"/>
              <w:spacing w:after="0" w:line="240" w:lineRule="auto"/>
              <w:ind w:left="0"/>
              <w:jc w:val="both"/>
              <w:rPr>
                <w:i/>
                <w:lang w:val="fr-FR"/>
              </w:rPr>
            </w:pPr>
          </w:p>
          <w:p w14:paraId="0A7AE554" w14:textId="2EDC91D8" w:rsidR="00555BBD" w:rsidRDefault="00F83938" w:rsidP="001B5E5F">
            <w:pPr>
              <w:suppressAutoHyphens/>
              <w:spacing w:after="120"/>
              <w:jc w:val="both"/>
              <w:rPr>
                <w:rFonts w:asciiTheme="minorHAnsi" w:hAnsiTheme="minorHAnsi" w:cstheme="minorHAnsi"/>
                <w:lang w:val="fr-FR"/>
              </w:rPr>
            </w:pPr>
            <w:r w:rsidRPr="008A0031">
              <w:rPr>
                <w:rFonts w:asciiTheme="minorHAnsi" w:hAnsiTheme="minorHAnsi" w:cstheme="minorHAnsi"/>
                <w:lang w:val="fr-FR"/>
              </w:rPr>
              <w:t xml:space="preserve">De </w:t>
            </w:r>
            <w:r w:rsidR="00753260" w:rsidRPr="008A0031">
              <w:rPr>
                <w:rFonts w:asciiTheme="minorHAnsi" w:hAnsiTheme="minorHAnsi" w:cstheme="minorHAnsi"/>
                <w:lang w:val="fr-FR"/>
              </w:rPr>
              <w:t>manière</w:t>
            </w:r>
            <w:r w:rsidRPr="008A0031">
              <w:rPr>
                <w:rFonts w:asciiTheme="minorHAnsi" w:hAnsiTheme="minorHAnsi" w:cstheme="minorHAnsi"/>
                <w:lang w:val="fr-FR"/>
              </w:rPr>
              <w:t xml:space="preserve"> </w:t>
            </w:r>
            <w:r w:rsidR="00753260" w:rsidRPr="008A0031">
              <w:rPr>
                <w:rFonts w:asciiTheme="minorHAnsi" w:hAnsiTheme="minorHAnsi" w:cstheme="minorHAnsi"/>
                <w:lang w:val="fr-FR"/>
              </w:rPr>
              <w:t>générale</w:t>
            </w:r>
            <w:r w:rsidRPr="008A0031">
              <w:rPr>
                <w:rFonts w:asciiTheme="minorHAnsi" w:hAnsiTheme="minorHAnsi" w:cstheme="minorHAnsi"/>
                <w:lang w:val="fr-FR"/>
              </w:rPr>
              <w:t>, les relations entre W</w:t>
            </w:r>
            <w:r w:rsidR="00AC2F56">
              <w:rPr>
                <w:rFonts w:asciiTheme="minorHAnsi" w:hAnsiTheme="minorHAnsi" w:cstheme="minorHAnsi"/>
                <w:lang w:val="fr-FR"/>
              </w:rPr>
              <w:t>ILD</w:t>
            </w:r>
            <w:r w:rsidRPr="008A0031">
              <w:rPr>
                <w:rFonts w:asciiTheme="minorHAnsi" w:hAnsiTheme="minorHAnsi" w:cstheme="minorHAnsi"/>
                <w:lang w:val="fr-FR"/>
              </w:rPr>
              <w:t xml:space="preserve"> Foundation et les </w:t>
            </w:r>
            <w:r w:rsidR="00753260" w:rsidRPr="008A0031">
              <w:rPr>
                <w:rFonts w:asciiTheme="minorHAnsi" w:hAnsiTheme="minorHAnsi" w:cstheme="minorHAnsi"/>
                <w:lang w:val="fr-FR"/>
              </w:rPr>
              <w:t>autorités</w:t>
            </w:r>
            <w:r w:rsidRPr="008A0031">
              <w:rPr>
                <w:rFonts w:asciiTheme="minorHAnsi" w:hAnsiTheme="minorHAnsi" w:cstheme="minorHAnsi"/>
                <w:lang w:val="fr-FR"/>
              </w:rPr>
              <w:t xml:space="preserve"> publiques</w:t>
            </w:r>
            <w:r w:rsidR="00AC2F56">
              <w:rPr>
                <w:rFonts w:asciiTheme="minorHAnsi" w:hAnsiTheme="minorHAnsi" w:cstheme="minorHAnsi"/>
                <w:lang w:val="fr-FR"/>
              </w:rPr>
              <w:t xml:space="preserve"> (</w:t>
            </w:r>
            <w:r w:rsidRPr="008A0031">
              <w:rPr>
                <w:rFonts w:asciiTheme="minorHAnsi" w:hAnsiTheme="minorHAnsi" w:cstheme="minorHAnsi"/>
                <w:lang w:val="fr-FR"/>
              </w:rPr>
              <w:t xml:space="preserve">en premier lieu le </w:t>
            </w:r>
            <w:r w:rsidR="00753260" w:rsidRPr="008A0031">
              <w:rPr>
                <w:rFonts w:asciiTheme="minorHAnsi" w:hAnsiTheme="minorHAnsi" w:cstheme="minorHAnsi"/>
                <w:lang w:val="fr-FR"/>
              </w:rPr>
              <w:t>Ministère</w:t>
            </w:r>
            <w:r w:rsidRPr="008A0031">
              <w:rPr>
                <w:rFonts w:asciiTheme="minorHAnsi" w:hAnsiTheme="minorHAnsi" w:cstheme="minorHAnsi"/>
                <w:lang w:val="fr-FR"/>
              </w:rPr>
              <w:t xml:space="preserve"> de l’Environnement, de l’Assainissement et du </w:t>
            </w:r>
            <w:r w:rsidR="00753260" w:rsidRPr="008A0031">
              <w:rPr>
                <w:rFonts w:asciiTheme="minorHAnsi" w:hAnsiTheme="minorHAnsi" w:cstheme="minorHAnsi"/>
                <w:lang w:val="fr-FR"/>
              </w:rPr>
              <w:t>Développement</w:t>
            </w:r>
            <w:r w:rsidRPr="008A0031">
              <w:rPr>
                <w:rFonts w:asciiTheme="minorHAnsi" w:hAnsiTheme="minorHAnsi" w:cstheme="minorHAnsi"/>
                <w:lang w:val="fr-FR"/>
              </w:rPr>
              <w:t xml:space="preserve"> Durable (MEADD), le </w:t>
            </w:r>
            <w:r w:rsidR="00753260" w:rsidRPr="008A0031">
              <w:rPr>
                <w:rFonts w:asciiTheme="minorHAnsi" w:hAnsiTheme="minorHAnsi" w:cstheme="minorHAnsi"/>
                <w:lang w:val="fr-FR"/>
              </w:rPr>
              <w:t>Ministère</w:t>
            </w:r>
            <w:r w:rsidRPr="008A0031">
              <w:rPr>
                <w:rFonts w:asciiTheme="minorHAnsi" w:hAnsiTheme="minorHAnsi" w:cstheme="minorHAnsi"/>
                <w:lang w:val="fr-FR"/>
              </w:rPr>
              <w:t xml:space="preserve"> de l’Administration Territoriale et de la </w:t>
            </w:r>
            <w:r w:rsidR="00753260" w:rsidRPr="008A0031">
              <w:rPr>
                <w:rFonts w:asciiTheme="minorHAnsi" w:hAnsiTheme="minorHAnsi" w:cstheme="minorHAnsi"/>
                <w:lang w:val="fr-FR"/>
              </w:rPr>
              <w:t>Décentralisation</w:t>
            </w:r>
            <w:r w:rsidRPr="008A0031">
              <w:rPr>
                <w:rFonts w:asciiTheme="minorHAnsi" w:hAnsiTheme="minorHAnsi" w:cstheme="minorHAnsi"/>
                <w:lang w:val="fr-FR"/>
              </w:rPr>
              <w:t xml:space="preserve"> (MATD), le </w:t>
            </w:r>
            <w:r w:rsidR="00753260" w:rsidRPr="008A0031">
              <w:rPr>
                <w:rFonts w:asciiTheme="minorHAnsi" w:hAnsiTheme="minorHAnsi" w:cstheme="minorHAnsi"/>
                <w:lang w:val="fr-FR"/>
              </w:rPr>
              <w:t>Ministère</w:t>
            </w:r>
            <w:r w:rsidRPr="008A0031">
              <w:rPr>
                <w:rFonts w:asciiTheme="minorHAnsi" w:hAnsiTheme="minorHAnsi" w:cstheme="minorHAnsi"/>
                <w:lang w:val="fr-FR"/>
              </w:rPr>
              <w:t xml:space="preserve"> de la </w:t>
            </w:r>
            <w:r w:rsidR="00753260" w:rsidRPr="008A0031">
              <w:rPr>
                <w:rFonts w:asciiTheme="minorHAnsi" w:hAnsiTheme="minorHAnsi" w:cstheme="minorHAnsi"/>
                <w:lang w:val="fr-FR"/>
              </w:rPr>
              <w:t>Défense</w:t>
            </w:r>
            <w:r w:rsidRPr="008A0031">
              <w:rPr>
                <w:rFonts w:asciiTheme="minorHAnsi" w:hAnsiTheme="minorHAnsi" w:cstheme="minorHAnsi"/>
                <w:lang w:val="fr-FR"/>
              </w:rPr>
              <w:t xml:space="preserve"> et des Anciens Combattants (MDAC) ainsi que la Direction Nationale des Eaux et </w:t>
            </w:r>
            <w:r w:rsidR="00753260" w:rsidRPr="008A0031">
              <w:rPr>
                <w:rFonts w:asciiTheme="minorHAnsi" w:hAnsiTheme="minorHAnsi" w:cstheme="minorHAnsi"/>
                <w:lang w:val="fr-FR"/>
              </w:rPr>
              <w:t>Forêt</w:t>
            </w:r>
            <w:r w:rsidRPr="008A0031">
              <w:rPr>
                <w:rFonts w:asciiTheme="minorHAnsi" w:hAnsiTheme="minorHAnsi" w:cstheme="minorHAnsi"/>
                <w:lang w:val="fr-FR"/>
              </w:rPr>
              <w:t xml:space="preserve"> (DNEF), l’</w:t>
            </w:r>
            <w:r w:rsidR="00753260" w:rsidRPr="008A0031">
              <w:rPr>
                <w:rFonts w:asciiTheme="minorHAnsi" w:hAnsiTheme="minorHAnsi" w:cstheme="minorHAnsi"/>
                <w:lang w:val="fr-FR"/>
              </w:rPr>
              <w:t>État-Major</w:t>
            </w:r>
            <w:r w:rsidRPr="008A0031">
              <w:rPr>
                <w:rFonts w:asciiTheme="minorHAnsi" w:hAnsiTheme="minorHAnsi" w:cstheme="minorHAnsi"/>
                <w:lang w:val="fr-FR"/>
              </w:rPr>
              <w:t xml:space="preserve"> des </w:t>
            </w:r>
            <w:r w:rsidR="00753260" w:rsidRPr="008A0031">
              <w:rPr>
                <w:rFonts w:asciiTheme="minorHAnsi" w:hAnsiTheme="minorHAnsi" w:cstheme="minorHAnsi"/>
                <w:lang w:val="fr-FR"/>
              </w:rPr>
              <w:t>Armées</w:t>
            </w:r>
            <w:r w:rsidRPr="008A0031">
              <w:rPr>
                <w:rFonts w:asciiTheme="minorHAnsi" w:hAnsiTheme="minorHAnsi" w:cstheme="minorHAnsi"/>
                <w:lang w:val="fr-FR"/>
              </w:rPr>
              <w:t xml:space="preserve">, et les </w:t>
            </w:r>
            <w:r w:rsidR="00753260" w:rsidRPr="008A0031">
              <w:rPr>
                <w:rFonts w:asciiTheme="minorHAnsi" w:hAnsiTheme="minorHAnsi" w:cstheme="minorHAnsi"/>
                <w:lang w:val="fr-FR"/>
              </w:rPr>
              <w:t>élus</w:t>
            </w:r>
            <w:r w:rsidRPr="008A0031">
              <w:rPr>
                <w:rFonts w:asciiTheme="minorHAnsi" w:hAnsiTheme="minorHAnsi" w:cstheme="minorHAnsi"/>
                <w:lang w:val="fr-FR"/>
              </w:rPr>
              <w:t xml:space="preserve"> locaux) sont bonnes, car elles reposent sur une collaboration de longue date, </w:t>
            </w:r>
            <w:r w:rsidR="004A3404">
              <w:rPr>
                <w:rFonts w:asciiTheme="minorHAnsi" w:hAnsiTheme="minorHAnsi" w:cstheme="minorHAnsi"/>
                <w:lang w:val="fr-FR"/>
              </w:rPr>
              <w:t xml:space="preserve">et </w:t>
            </w:r>
            <w:r w:rsidRPr="008A0031">
              <w:rPr>
                <w:rFonts w:asciiTheme="minorHAnsi" w:hAnsiTheme="minorHAnsi" w:cstheme="minorHAnsi"/>
                <w:lang w:val="fr-FR"/>
              </w:rPr>
              <w:t xml:space="preserve">un large </w:t>
            </w:r>
            <w:r w:rsidR="00753260" w:rsidRPr="008A0031">
              <w:rPr>
                <w:rFonts w:asciiTheme="minorHAnsi" w:hAnsiTheme="minorHAnsi" w:cstheme="minorHAnsi"/>
                <w:lang w:val="fr-FR"/>
              </w:rPr>
              <w:t>réseau</w:t>
            </w:r>
            <w:r w:rsidRPr="008A0031">
              <w:rPr>
                <w:rFonts w:asciiTheme="minorHAnsi" w:hAnsiTheme="minorHAnsi" w:cstheme="minorHAnsi"/>
                <w:lang w:val="fr-FR"/>
              </w:rPr>
              <w:t xml:space="preserve"> de </w:t>
            </w:r>
            <w:r w:rsidRPr="008A0031">
              <w:rPr>
                <w:rFonts w:asciiTheme="minorHAnsi" w:hAnsiTheme="minorHAnsi" w:cstheme="minorHAnsi"/>
                <w:lang w:val="fr-FR"/>
              </w:rPr>
              <w:lastRenderedPageBreak/>
              <w:t>connaissances</w:t>
            </w:r>
            <w:r w:rsidR="00626E72" w:rsidRPr="008A0031">
              <w:rPr>
                <w:rFonts w:asciiTheme="minorHAnsi" w:hAnsiTheme="minorHAnsi" w:cstheme="minorHAnsi"/>
                <w:lang w:val="fr-FR"/>
              </w:rPr>
              <w:t>.</w:t>
            </w:r>
          </w:p>
          <w:p w14:paraId="27BC9033" w14:textId="671CFDD3" w:rsidR="00555BBD" w:rsidRPr="001064FF" w:rsidRDefault="00C01DE0" w:rsidP="001064FF">
            <w:pPr>
              <w:suppressAutoHyphens/>
              <w:spacing w:after="120"/>
              <w:jc w:val="both"/>
              <w:rPr>
                <w:rFonts w:asciiTheme="minorHAnsi" w:hAnsiTheme="minorHAnsi" w:cstheme="minorHAnsi"/>
                <w:lang w:val="fr-FR"/>
              </w:rPr>
            </w:pPr>
            <w:r>
              <w:rPr>
                <w:rFonts w:asciiTheme="minorHAnsi" w:hAnsiTheme="minorHAnsi" w:cstheme="minorHAnsi"/>
                <w:lang w:val="fr-FR"/>
              </w:rPr>
              <w:t xml:space="preserve">La fin de la formation des formateurs en juillet a marqué la fin de l’engagement de </w:t>
            </w:r>
            <w:r w:rsidR="001B5E5F">
              <w:rPr>
                <w:rFonts w:asciiTheme="minorHAnsi" w:hAnsiTheme="minorHAnsi" w:cstheme="minorHAnsi"/>
                <w:lang w:val="fr-FR"/>
              </w:rPr>
              <w:t xml:space="preserve">Chengeta Wildlife </w:t>
            </w:r>
            <w:r>
              <w:rPr>
                <w:rFonts w:asciiTheme="minorHAnsi" w:hAnsiTheme="minorHAnsi" w:cstheme="minorHAnsi"/>
                <w:lang w:val="fr-FR"/>
              </w:rPr>
              <w:t>au Mali dans le cadre du projet, la DNEF n’ayant pas jugé nécessaire de</w:t>
            </w:r>
            <w:r w:rsidR="003522B7">
              <w:rPr>
                <w:rFonts w:asciiTheme="minorHAnsi" w:hAnsiTheme="minorHAnsi" w:cstheme="minorHAnsi"/>
                <w:lang w:val="fr-FR"/>
              </w:rPr>
              <w:t xml:space="preserve"> prolonger leur appui aux nouveaux formateurs</w:t>
            </w:r>
            <w:r>
              <w:rPr>
                <w:rFonts w:asciiTheme="minorHAnsi" w:hAnsiTheme="minorHAnsi" w:cstheme="minorHAnsi"/>
                <w:lang w:val="fr-FR"/>
              </w:rPr>
              <w:t xml:space="preserve">. </w:t>
            </w:r>
          </w:p>
        </w:tc>
      </w:tr>
      <w:bookmarkEnd w:id="2"/>
    </w:tbl>
    <w:p w14:paraId="50F7B35C" w14:textId="77777777" w:rsidR="00D1721E" w:rsidRPr="00135BB1" w:rsidRDefault="00D1721E" w:rsidP="00D1721E">
      <w:pPr>
        <w:rPr>
          <w:sz w:val="24"/>
          <w:szCs w:val="24"/>
          <w:lang w:val="fr-FR"/>
        </w:rPr>
      </w:pPr>
    </w:p>
    <w:tbl>
      <w:tblPr>
        <w:tblW w:w="10283"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3"/>
      </w:tblGrid>
      <w:tr w:rsidR="00D0651C" w:rsidRPr="00135BB1" w14:paraId="693EFF7D" w14:textId="77777777" w:rsidTr="006E3C04">
        <w:tc>
          <w:tcPr>
            <w:tcW w:w="10283" w:type="dxa"/>
            <w:shd w:val="clear" w:color="auto" w:fill="BDD6EE"/>
          </w:tcPr>
          <w:p w14:paraId="49A8BBF2" w14:textId="77777777" w:rsidR="00D0651C" w:rsidRPr="00135BB1" w:rsidRDefault="00555BBD" w:rsidP="0015616F">
            <w:pPr>
              <w:numPr>
                <w:ilvl w:val="0"/>
                <w:numId w:val="2"/>
              </w:numPr>
              <w:suppressAutoHyphens/>
              <w:spacing w:after="120" w:line="240" w:lineRule="auto"/>
              <w:rPr>
                <w:b/>
                <w:bCs/>
                <w:sz w:val="24"/>
                <w:szCs w:val="24"/>
                <w:lang w:val="fr-FR"/>
              </w:rPr>
            </w:pPr>
            <w:r w:rsidRPr="00135BB1">
              <w:rPr>
                <w:b/>
                <w:bCs/>
                <w:sz w:val="24"/>
                <w:szCs w:val="24"/>
                <w:lang w:val="fr-FR"/>
              </w:rPr>
              <w:t>Durabilité</w:t>
            </w:r>
          </w:p>
        </w:tc>
      </w:tr>
      <w:tr w:rsidR="00D0651C" w:rsidRPr="00B12AE6" w14:paraId="0049FB80" w14:textId="77777777" w:rsidTr="006E3C04">
        <w:tc>
          <w:tcPr>
            <w:tcW w:w="10283" w:type="dxa"/>
            <w:shd w:val="clear" w:color="auto" w:fill="auto"/>
          </w:tcPr>
          <w:p w14:paraId="30DC50AD" w14:textId="77777777" w:rsidR="00D0651C" w:rsidRPr="00135BB1" w:rsidRDefault="00555BBD" w:rsidP="006E3C04">
            <w:pPr>
              <w:pStyle w:val="Paragraphedeliste"/>
              <w:spacing w:after="0" w:line="240" w:lineRule="auto"/>
              <w:ind w:left="0"/>
              <w:jc w:val="both"/>
              <w:rPr>
                <w:rFonts w:cs="Times New Roman"/>
                <w:i/>
                <w:lang w:val="fr-FR"/>
              </w:rPr>
            </w:pPr>
            <w:r w:rsidRPr="00135BB1">
              <w:rPr>
                <w:rFonts w:cs="Times New Roman"/>
                <w:i/>
                <w:lang w:val="fr-FR"/>
              </w:rPr>
              <w:t>Comment le projet assure-t-il la durabilité des activités ?</w:t>
            </w:r>
          </w:p>
          <w:p w14:paraId="0F0FD6C4" w14:textId="77777777" w:rsidR="00555BBD" w:rsidRPr="00135BB1" w:rsidRDefault="00555BBD" w:rsidP="006E3C04">
            <w:pPr>
              <w:pStyle w:val="Paragraphedeliste"/>
              <w:spacing w:after="0" w:line="240" w:lineRule="auto"/>
              <w:ind w:left="0"/>
              <w:jc w:val="both"/>
              <w:rPr>
                <w:i/>
                <w:lang w:val="fr-FR"/>
              </w:rPr>
            </w:pPr>
          </w:p>
          <w:p w14:paraId="5F1B73E9" w14:textId="3D27D992" w:rsidR="005902E1" w:rsidRPr="008A0031" w:rsidRDefault="00C13521" w:rsidP="001064FF">
            <w:pPr>
              <w:suppressAutoHyphens/>
              <w:spacing w:after="120"/>
              <w:jc w:val="both"/>
              <w:rPr>
                <w:rFonts w:asciiTheme="minorHAnsi" w:hAnsiTheme="minorHAnsi" w:cstheme="minorHAnsi"/>
                <w:lang w:val="fr-FR"/>
              </w:rPr>
            </w:pPr>
            <w:r w:rsidRPr="008A0031">
              <w:rPr>
                <w:rFonts w:asciiTheme="minorHAnsi" w:hAnsiTheme="minorHAnsi" w:cstheme="minorHAnsi"/>
                <w:lang w:val="fr-FR"/>
              </w:rPr>
              <w:t>L</w:t>
            </w:r>
            <w:r w:rsidR="00963309" w:rsidRPr="008A0031">
              <w:rPr>
                <w:rFonts w:asciiTheme="minorHAnsi" w:hAnsiTheme="minorHAnsi" w:cstheme="minorHAnsi"/>
                <w:lang w:val="fr-FR"/>
              </w:rPr>
              <w:t>a</w:t>
            </w:r>
            <w:r w:rsidR="00643D15" w:rsidRPr="008A0031">
              <w:rPr>
                <w:rFonts w:asciiTheme="minorHAnsi" w:hAnsiTheme="minorHAnsi" w:cstheme="minorHAnsi"/>
                <w:lang w:val="fr-FR"/>
              </w:rPr>
              <w:t xml:space="preserve"> durabilité des activités est intégrée dans la fabrique même du projet. </w:t>
            </w:r>
            <w:r w:rsidR="00A3710C" w:rsidRPr="008A0031">
              <w:rPr>
                <w:rFonts w:asciiTheme="minorHAnsi" w:hAnsiTheme="minorHAnsi" w:cstheme="minorHAnsi"/>
                <w:lang w:val="fr-FR"/>
              </w:rPr>
              <w:t xml:space="preserve">Le PEM </w:t>
            </w:r>
            <w:r w:rsidR="009E21D4">
              <w:rPr>
                <w:rFonts w:asciiTheme="minorHAnsi" w:hAnsiTheme="minorHAnsi" w:cstheme="minorHAnsi"/>
                <w:lang w:val="fr-FR"/>
              </w:rPr>
              <w:t>s’est donné pour mission</w:t>
            </w:r>
            <w:r w:rsidR="00A3710C" w:rsidRPr="008A0031">
              <w:rPr>
                <w:rFonts w:asciiTheme="minorHAnsi" w:hAnsiTheme="minorHAnsi" w:cstheme="minorHAnsi"/>
                <w:lang w:val="fr-FR"/>
              </w:rPr>
              <w:t xml:space="preserve"> d’accompagner les communautés de l’aire </w:t>
            </w:r>
            <w:r w:rsidR="00FA42D5" w:rsidRPr="008A0031">
              <w:rPr>
                <w:rFonts w:asciiTheme="minorHAnsi" w:hAnsiTheme="minorHAnsi" w:cstheme="minorHAnsi"/>
                <w:lang w:val="fr-FR"/>
              </w:rPr>
              <w:t>de</w:t>
            </w:r>
            <w:r w:rsidR="00A3710C" w:rsidRPr="008A0031">
              <w:rPr>
                <w:rFonts w:asciiTheme="minorHAnsi" w:hAnsiTheme="minorHAnsi" w:cstheme="minorHAnsi"/>
                <w:lang w:val="fr-FR"/>
              </w:rPr>
              <w:t xml:space="preserve"> répartition des éléphants</w:t>
            </w:r>
            <w:r w:rsidR="00FA42D5" w:rsidRPr="008A0031">
              <w:rPr>
                <w:rFonts w:asciiTheme="minorHAnsi" w:hAnsiTheme="minorHAnsi" w:cstheme="minorHAnsi"/>
                <w:lang w:val="fr-FR"/>
              </w:rPr>
              <w:t xml:space="preserve"> dans l’élaboration de sy</w:t>
            </w:r>
            <w:r w:rsidR="006304C3" w:rsidRPr="008A0031">
              <w:rPr>
                <w:rFonts w:asciiTheme="minorHAnsi" w:hAnsiTheme="minorHAnsi" w:cstheme="minorHAnsi"/>
                <w:lang w:val="fr-FR"/>
              </w:rPr>
              <w:t>s</w:t>
            </w:r>
            <w:r w:rsidR="00FA42D5" w:rsidRPr="008A0031">
              <w:rPr>
                <w:rFonts w:asciiTheme="minorHAnsi" w:hAnsiTheme="minorHAnsi" w:cstheme="minorHAnsi"/>
                <w:lang w:val="fr-FR"/>
              </w:rPr>
              <w:t>tèmes de GRCN</w:t>
            </w:r>
            <w:r w:rsidR="00A3710C" w:rsidRPr="008A0031">
              <w:rPr>
                <w:rFonts w:asciiTheme="minorHAnsi" w:hAnsiTheme="minorHAnsi" w:cstheme="minorHAnsi"/>
                <w:lang w:val="fr-FR"/>
              </w:rPr>
              <w:t xml:space="preserve"> </w:t>
            </w:r>
            <w:r w:rsidR="003522B7">
              <w:rPr>
                <w:rFonts w:asciiTheme="minorHAnsi" w:hAnsiTheme="minorHAnsi" w:cstheme="minorHAnsi"/>
                <w:lang w:val="fr-FR"/>
              </w:rPr>
              <w:t>« </w:t>
            </w:r>
            <w:r w:rsidR="006304C3" w:rsidRPr="008A0031">
              <w:rPr>
                <w:rFonts w:asciiTheme="minorHAnsi" w:hAnsiTheme="minorHAnsi" w:cstheme="minorHAnsi"/>
                <w:lang w:val="fr-FR"/>
              </w:rPr>
              <w:t>centrés sur les éléphants</w:t>
            </w:r>
            <w:r w:rsidR="003522B7">
              <w:rPr>
                <w:rFonts w:asciiTheme="minorHAnsi" w:hAnsiTheme="minorHAnsi" w:cstheme="minorHAnsi"/>
                <w:lang w:val="fr-FR"/>
              </w:rPr>
              <w:t> »</w:t>
            </w:r>
            <w:r w:rsidR="006304C3" w:rsidRPr="008A0031">
              <w:rPr>
                <w:rFonts w:asciiTheme="minorHAnsi" w:hAnsiTheme="minorHAnsi" w:cstheme="minorHAnsi"/>
                <w:lang w:val="fr-FR"/>
              </w:rPr>
              <w:t xml:space="preserve"> </w:t>
            </w:r>
            <w:r w:rsidR="00A3710C" w:rsidRPr="008A0031">
              <w:rPr>
                <w:rFonts w:asciiTheme="minorHAnsi" w:hAnsiTheme="minorHAnsi" w:cstheme="minorHAnsi"/>
                <w:lang w:val="fr-FR"/>
              </w:rPr>
              <w:t xml:space="preserve">jusqu’à ce que </w:t>
            </w:r>
            <w:r w:rsidR="006304C3" w:rsidRPr="008A0031">
              <w:rPr>
                <w:rFonts w:asciiTheme="minorHAnsi" w:hAnsiTheme="minorHAnsi" w:cstheme="minorHAnsi"/>
                <w:lang w:val="fr-FR"/>
              </w:rPr>
              <w:t>ces</w:t>
            </w:r>
            <w:r w:rsidR="00A3710C" w:rsidRPr="008A0031">
              <w:rPr>
                <w:rFonts w:asciiTheme="minorHAnsi" w:hAnsiTheme="minorHAnsi" w:cstheme="minorHAnsi"/>
                <w:lang w:val="fr-FR"/>
              </w:rPr>
              <w:t xml:space="preserve"> pratiques deviennent habituelles.  </w:t>
            </w:r>
            <w:r w:rsidR="00FA42D5" w:rsidRPr="008A0031">
              <w:rPr>
                <w:rFonts w:asciiTheme="minorHAnsi" w:hAnsiTheme="minorHAnsi" w:cstheme="minorHAnsi"/>
                <w:lang w:val="fr-FR"/>
              </w:rPr>
              <w:t>Pour ce faire</w:t>
            </w:r>
            <w:r w:rsidR="00643D15" w:rsidRPr="008A0031">
              <w:rPr>
                <w:rFonts w:asciiTheme="minorHAnsi" w:hAnsiTheme="minorHAnsi" w:cstheme="minorHAnsi"/>
                <w:lang w:val="fr-FR"/>
              </w:rPr>
              <w:t>,</w:t>
            </w:r>
            <w:r w:rsidR="006304C3" w:rsidRPr="008A0031">
              <w:rPr>
                <w:rFonts w:asciiTheme="minorHAnsi" w:hAnsiTheme="minorHAnsi" w:cstheme="minorHAnsi"/>
                <w:lang w:val="fr-FR"/>
              </w:rPr>
              <w:t xml:space="preserve"> </w:t>
            </w:r>
            <w:r w:rsidR="00FA42D5" w:rsidRPr="008A0031">
              <w:rPr>
                <w:rFonts w:asciiTheme="minorHAnsi" w:hAnsiTheme="minorHAnsi" w:cstheme="minorHAnsi"/>
                <w:lang w:val="fr-FR"/>
              </w:rPr>
              <w:t>l</w:t>
            </w:r>
            <w:r w:rsidR="00643D15" w:rsidRPr="008A0031">
              <w:rPr>
                <w:rFonts w:asciiTheme="minorHAnsi" w:hAnsiTheme="minorHAnsi" w:cstheme="minorHAnsi"/>
                <w:lang w:val="fr-FR"/>
              </w:rPr>
              <w:t>a</w:t>
            </w:r>
            <w:r w:rsidR="00963309" w:rsidRPr="008A0031">
              <w:rPr>
                <w:rFonts w:asciiTheme="minorHAnsi" w:hAnsiTheme="minorHAnsi" w:cstheme="minorHAnsi"/>
                <w:lang w:val="fr-FR"/>
              </w:rPr>
              <w:t xml:space="preserve"> </w:t>
            </w:r>
            <w:r w:rsidR="00753260" w:rsidRPr="008A0031">
              <w:rPr>
                <w:rFonts w:asciiTheme="minorHAnsi" w:hAnsiTheme="minorHAnsi" w:cstheme="minorHAnsi"/>
                <w:lang w:val="fr-FR"/>
              </w:rPr>
              <w:t>stratégie</w:t>
            </w:r>
            <w:r w:rsidR="00963309" w:rsidRPr="008A0031">
              <w:rPr>
                <w:rFonts w:asciiTheme="minorHAnsi" w:hAnsiTheme="minorHAnsi" w:cstheme="minorHAnsi"/>
                <w:lang w:val="fr-FR"/>
              </w:rPr>
              <w:t xml:space="preserve"> d’engagement communautaire du PEM </w:t>
            </w:r>
            <w:r w:rsidR="00FA42D5" w:rsidRPr="008A0031">
              <w:rPr>
                <w:rFonts w:asciiTheme="minorHAnsi" w:hAnsiTheme="minorHAnsi" w:cstheme="minorHAnsi"/>
                <w:lang w:val="fr-FR"/>
              </w:rPr>
              <w:t>vise à</w:t>
            </w:r>
            <w:r w:rsidR="00963309" w:rsidRPr="008A0031">
              <w:rPr>
                <w:rFonts w:asciiTheme="minorHAnsi" w:hAnsiTheme="minorHAnsi" w:cstheme="minorHAnsi"/>
                <w:lang w:val="fr-FR"/>
              </w:rPr>
              <w:t xml:space="preserve"> rendre les </w:t>
            </w:r>
            <w:r w:rsidR="00753260" w:rsidRPr="008A0031">
              <w:rPr>
                <w:rFonts w:asciiTheme="minorHAnsi" w:hAnsiTheme="minorHAnsi" w:cstheme="minorHAnsi"/>
                <w:lang w:val="fr-FR"/>
              </w:rPr>
              <w:t>communautés</w:t>
            </w:r>
            <w:r w:rsidR="00963309" w:rsidRPr="008A0031">
              <w:rPr>
                <w:rFonts w:asciiTheme="minorHAnsi" w:hAnsiTheme="minorHAnsi" w:cstheme="minorHAnsi"/>
                <w:lang w:val="fr-FR"/>
              </w:rPr>
              <w:t xml:space="preserve"> </w:t>
            </w:r>
            <w:r w:rsidR="00753260" w:rsidRPr="008A0031">
              <w:rPr>
                <w:rFonts w:asciiTheme="minorHAnsi" w:hAnsiTheme="minorHAnsi" w:cstheme="minorHAnsi"/>
                <w:lang w:val="fr-FR"/>
              </w:rPr>
              <w:t>locales</w:t>
            </w:r>
            <w:r w:rsidR="00963309" w:rsidRPr="008A0031">
              <w:rPr>
                <w:rFonts w:asciiTheme="minorHAnsi" w:hAnsiTheme="minorHAnsi" w:cstheme="minorHAnsi"/>
                <w:lang w:val="fr-FR"/>
              </w:rPr>
              <w:t xml:space="preserve"> responsables de la gestion des ressources naturelles et du processus </w:t>
            </w:r>
            <w:r w:rsidR="00753260" w:rsidRPr="008A0031">
              <w:rPr>
                <w:rFonts w:asciiTheme="minorHAnsi" w:hAnsiTheme="minorHAnsi" w:cstheme="minorHAnsi"/>
                <w:lang w:val="fr-FR"/>
              </w:rPr>
              <w:t>décisionnel</w:t>
            </w:r>
            <w:r w:rsidR="00963309" w:rsidRPr="008A0031">
              <w:rPr>
                <w:rFonts w:asciiTheme="minorHAnsi" w:hAnsiTheme="minorHAnsi" w:cstheme="minorHAnsi"/>
                <w:lang w:val="fr-FR"/>
              </w:rPr>
              <w:t xml:space="preserve"> en la matière</w:t>
            </w:r>
            <w:r w:rsidR="009E21D4">
              <w:rPr>
                <w:rFonts w:asciiTheme="minorHAnsi" w:hAnsiTheme="minorHAnsi" w:cstheme="minorHAnsi"/>
                <w:lang w:val="fr-FR"/>
              </w:rPr>
              <w:t>,</w:t>
            </w:r>
            <w:r w:rsidR="00A3710C" w:rsidRPr="008A0031">
              <w:rPr>
                <w:rFonts w:asciiTheme="minorHAnsi" w:hAnsiTheme="minorHAnsi" w:cstheme="minorHAnsi"/>
                <w:lang w:val="fr-FR"/>
              </w:rPr>
              <w:t xml:space="preserve"> en leur faisant prendre conscience des effets de leurs actions </w:t>
            </w:r>
            <w:r w:rsidR="00FA42D5" w:rsidRPr="008A0031">
              <w:rPr>
                <w:rFonts w:asciiTheme="minorHAnsi" w:hAnsiTheme="minorHAnsi" w:cstheme="minorHAnsi"/>
                <w:lang w:val="fr-FR"/>
              </w:rPr>
              <w:t xml:space="preserve">sur l’environnement </w:t>
            </w:r>
            <w:r w:rsidR="00A3710C" w:rsidRPr="008A0031">
              <w:rPr>
                <w:rFonts w:asciiTheme="minorHAnsi" w:hAnsiTheme="minorHAnsi" w:cstheme="minorHAnsi"/>
                <w:lang w:val="fr-FR"/>
              </w:rPr>
              <w:t xml:space="preserve">et </w:t>
            </w:r>
            <w:r w:rsidR="00FA42D5" w:rsidRPr="008A0031">
              <w:rPr>
                <w:rFonts w:asciiTheme="minorHAnsi" w:hAnsiTheme="minorHAnsi" w:cstheme="minorHAnsi"/>
                <w:lang w:val="fr-FR"/>
              </w:rPr>
              <w:t xml:space="preserve">par là-même du fait </w:t>
            </w:r>
            <w:r w:rsidR="00A3710C" w:rsidRPr="008A0031">
              <w:rPr>
                <w:rFonts w:asciiTheme="minorHAnsi" w:hAnsiTheme="minorHAnsi" w:cstheme="minorHAnsi"/>
                <w:lang w:val="fr-FR"/>
              </w:rPr>
              <w:t>qu’elles ont la capacité d</w:t>
            </w:r>
            <w:r w:rsidR="00FA42D5" w:rsidRPr="008A0031">
              <w:rPr>
                <w:rFonts w:asciiTheme="minorHAnsi" w:hAnsiTheme="minorHAnsi" w:cstheme="minorHAnsi"/>
                <w:lang w:val="fr-FR"/>
              </w:rPr>
              <w:t xml:space="preserve">e </w:t>
            </w:r>
            <w:r w:rsidR="00A3710C" w:rsidRPr="008A0031">
              <w:rPr>
                <w:rFonts w:asciiTheme="minorHAnsi" w:hAnsiTheme="minorHAnsi" w:cstheme="minorHAnsi"/>
                <w:lang w:val="fr-FR"/>
              </w:rPr>
              <w:t>remédier</w:t>
            </w:r>
            <w:r w:rsidR="006304C3" w:rsidRPr="008A0031">
              <w:rPr>
                <w:rFonts w:asciiTheme="minorHAnsi" w:hAnsiTheme="minorHAnsi" w:cstheme="minorHAnsi"/>
                <w:lang w:val="fr-FR"/>
              </w:rPr>
              <w:t>,</w:t>
            </w:r>
            <w:r w:rsidR="00FA42D5" w:rsidRPr="008A0031">
              <w:rPr>
                <w:rFonts w:asciiTheme="minorHAnsi" w:hAnsiTheme="minorHAnsi" w:cstheme="minorHAnsi"/>
                <w:lang w:val="fr-FR"/>
              </w:rPr>
              <w:t xml:space="preserve"> en partie</w:t>
            </w:r>
            <w:r w:rsidR="006304C3" w:rsidRPr="008A0031">
              <w:rPr>
                <w:rFonts w:asciiTheme="minorHAnsi" w:hAnsiTheme="minorHAnsi" w:cstheme="minorHAnsi"/>
                <w:lang w:val="fr-FR"/>
              </w:rPr>
              <w:t>,</w:t>
            </w:r>
            <w:r w:rsidR="00FA42D5" w:rsidRPr="008A0031">
              <w:rPr>
                <w:rFonts w:asciiTheme="minorHAnsi" w:hAnsiTheme="minorHAnsi" w:cstheme="minorHAnsi"/>
                <w:lang w:val="fr-FR"/>
              </w:rPr>
              <w:t xml:space="preserve"> </w:t>
            </w:r>
            <w:r w:rsidR="008A0031">
              <w:rPr>
                <w:rFonts w:asciiTheme="minorHAnsi" w:hAnsiTheme="minorHAnsi" w:cstheme="minorHAnsi"/>
                <w:lang w:val="fr-FR"/>
              </w:rPr>
              <w:t>à certains problèmes auxquel</w:t>
            </w:r>
            <w:r w:rsidR="00F84E7E">
              <w:rPr>
                <w:rFonts w:asciiTheme="minorHAnsi" w:hAnsiTheme="minorHAnsi" w:cstheme="minorHAnsi"/>
                <w:lang w:val="fr-FR"/>
              </w:rPr>
              <w:t>s elles sont confrontées</w:t>
            </w:r>
            <w:r w:rsidR="00963309" w:rsidRPr="008A0031">
              <w:rPr>
                <w:rFonts w:asciiTheme="minorHAnsi" w:hAnsiTheme="minorHAnsi" w:cstheme="minorHAnsi"/>
                <w:lang w:val="fr-FR"/>
              </w:rPr>
              <w:t xml:space="preserve">. </w:t>
            </w:r>
            <w:r w:rsidR="005902E1" w:rsidRPr="008A0031">
              <w:rPr>
                <w:rFonts w:asciiTheme="minorHAnsi" w:hAnsiTheme="minorHAnsi" w:cstheme="minorHAnsi"/>
                <w:lang w:val="fr-FR"/>
              </w:rPr>
              <w:t xml:space="preserve">Ainsi, </w:t>
            </w:r>
            <w:r w:rsidR="00C21ACF">
              <w:rPr>
                <w:rFonts w:asciiTheme="minorHAnsi" w:hAnsiTheme="minorHAnsi" w:cstheme="minorHAnsi"/>
                <w:lang w:val="fr-FR"/>
              </w:rPr>
              <w:t>l</w:t>
            </w:r>
            <w:r w:rsidR="00963309" w:rsidRPr="008A0031">
              <w:rPr>
                <w:rFonts w:asciiTheme="minorHAnsi" w:hAnsiTheme="minorHAnsi" w:cstheme="minorHAnsi"/>
                <w:lang w:val="fr-FR"/>
              </w:rPr>
              <w:t xml:space="preserve">es solutions et les </w:t>
            </w:r>
            <w:r w:rsidR="00753260" w:rsidRPr="008A0031">
              <w:rPr>
                <w:rFonts w:asciiTheme="minorHAnsi" w:hAnsiTheme="minorHAnsi" w:cstheme="minorHAnsi"/>
                <w:lang w:val="fr-FR"/>
              </w:rPr>
              <w:t>activités</w:t>
            </w:r>
            <w:r w:rsidR="00963309" w:rsidRPr="008A0031">
              <w:rPr>
                <w:rFonts w:asciiTheme="minorHAnsi" w:hAnsiTheme="minorHAnsi" w:cstheme="minorHAnsi"/>
                <w:lang w:val="fr-FR"/>
              </w:rPr>
              <w:t xml:space="preserve"> </w:t>
            </w:r>
            <w:r w:rsidR="00753260" w:rsidRPr="008A0031">
              <w:rPr>
                <w:rFonts w:asciiTheme="minorHAnsi" w:hAnsiTheme="minorHAnsi" w:cstheme="minorHAnsi"/>
                <w:lang w:val="fr-FR"/>
              </w:rPr>
              <w:t>naissent</w:t>
            </w:r>
            <w:r w:rsidR="00135BB1" w:rsidRPr="008A0031">
              <w:rPr>
                <w:rFonts w:asciiTheme="minorHAnsi" w:hAnsiTheme="minorHAnsi" w:cstheme="minorHAnsi"/>
                <w:lang w:val="fr-FR"/>
              </w:rPr>
              <w:t xml:space="preserve"> </w:t>
            </w:r>
            <w:r w:rsidR="00963309" w:rsidRPr="008A0031">
              <w:rPr>
                <w:rFonts w:asciiTheme="minorHAnsi" w:hAnsiTheme="minorHAnsi" w:cstheme="minorHAnsi"/>
                <w:lang w:val="fr-FR"/>
              </w:rPr>
              <w:t>au niveau local</w:t>
            </w:r>
            <w:r w:rsidR="00135BB1" w:rsidRPr="008A0031">
              <w:rPr>
                <w:rFonts w:asciiTheme="minorHAnsi" w:hAnsiTheme="minorHAnsi" w:cstheme="minorHAnsi"/>
                <w:lang w:val="fr-FR"/>
              </w:rPr>
              <w:t xml:space="preserve"> et </w:t>
            </w:r>
            <w:r w:rsidR="00643D15" w:rsidRPr="008A0031">
              <w:rPr>
                <w:rFonts w:asciiTheme="minorHAnsi" w:hAnsiTheme="minorHAnsi" w:cstheme="minorHAnsi"/>
                <w:lang w:val="fr-FR"/>
              </w:rPr>
              <w:t>se basent sur un savoir-faire existant</w:t>
            </w:r>
            <w:r w:rsidR="00A3710C" w:rsidRPr="008A0031">
              <w:rPr>
                <w:rFonts w:asciiTheme="minorHAnsi" w:hAnsiTheme="minorHAnsi" w:cstheme="minorHAnsi"/>
                <w:lang w:val="fr-FR"/>
              </w:rPr>
              <w:t xml:space="preserve"> et ne sont pas imposées de l’extérieur</w:t>
            </w:r>
            <w:r w:rsidR="005902E1" w:rsidRPr="008A0031">
              <w:rPr>
                <w:rFonts w:asciiTheme="minorHAnsi" w:hAnsiTheme="minorHAnsi" w:cstheme="minorHAnsi"/>
                <w:lang w:val="fr-FR"/>
              </w:rPr>
              <w:t xml:space="preserve">. </w:t>
            </w:r>
          </w:p>
          <w:p w14:paraId="19D1F8B2" w14:textId="76366CBE" w:rsidR="00FD1146" w:rsidRPr="008A0031" w:rsidRDefault="005902E1" w:rsidP="001064FF">
            <w:pPr>
              <w:suppressAutoHyphens/>
              <w:spacing w:after="120"/>
              <w:jc w:val="both"/>
              <w:rPr>
                <w:rFonts w:asciiTheme="minorHAnsi" w:hAnsiTheme="minorHAnsi" w:cstheme="minorHAnsi"/>
                <w:lang w:val="fr-FR"/>
              </w:rPr>
            </w:pPr>
            <w:r w:rsidRPr="008A0031">
              <w:rPr>
                <w:rFonts w:asciiTheme="minorHAnsi" w:hAnsiTheme="minorHAnsi" w:cstheme="minorHAnsi"/>
                <w:lang w:val="fr-FR"/>
              </w:rPr>
              <w:t xml:space="preserve">Avant l’irruption du conflit </w:t>
            </w:r>
            <w:r w:rsidR="006304C3" w:rsidRPr="008A0031">
              <w:rPr>
                <w:rFonts w:asciiTheme="minorHAnsi" w:hAnsiTheme="minorHAnsi" w:cstheme="minorHAnsi"/>
                <w:lang w:val="fr-FR"/>
              </w:rPr>
              <w:t>en</w:t>
            </w:r>
            <w:r w:rsidRPr="008A0031">
              <w:rPr>
                <w:rFonts w:asciiTheme="minorHAnsi" w:hAnsiTheme="minorHAnsi" w:cstheme="minorHAnsi"/>
                <w:lang w:val="fr-FR"/>
              </w:rPr>
              <w:t xml:space="preserve"> 2012, </w:t>
            </w:r>
            <w:r w:rsidR="006304C3" w:rsidRPr="008A0031">
              <w:rPr>
                <w:rFonts w:asciiTheme="minorHAnsi" w:hAnsiTheme="minorHAnsi" w:cstheme="minorHAnsi"/>
                <w:lang w:val="fr-FR"/>
              </w:rPr>
              <w:t>l</w:t>
            </w:r>
            <w:r w:rsidR="00A3710C" w:rsidRPr="008A0031">
              <w:rPr>
                <w:rFonts w:asciiTheme="minorHAnsi" w:hAnsiTheme="minorHAnsi" w:cstheme="minorHAnsi"/>
                <w:lang w:val="fr-FR"/>
              </w:rPr>
              <w:t>es avancées en la matière</w:t>
            </w:r>
            <w:r w:rsidRPr="008A0031">
              <w:rPr>
                <w:rFonts w:asciiTheme="minorHAnsi" w:hAnsiTheme="minorHAnsi" w:cstheme="minorHAnsi"/>
                <w:lang w:val="fr-FR"/>
              </w:rPr>
              <w:t xml:space="preserve"> étaient très </w:t>
            </w:r>
            <w:r w:rsidR="00F84E7E" w:rsidRPr="008A0031">
              <w:rPr>
                <w:rFonts w:asciiTheme="minorHAnsi" w:hAnsiTheme="minorHAnsi" w:cstheme="minorHAnsi"/>
                <w:lang w:val="fr-FR"/>
              </w:rPr>
              <w:t>encourageantes</w:t>
            </w:r>
            <w:r w:rsidRPr="008A0031">
              <w:rPr>
                <w:rFonts w:asciiTheme="minorHAnsi" w:hAnsiTheme="minorHAnsi" w:cstheme="minorHAnsi"/>
                <w:lang w:val="fr-FR"/>
              </w:rPr>
              <w:t xml:space="preserve"> ave</w:t>
            </w:r>
            <w:r w:rsidR="006304C3" w:rsidRPr="008A0031">
              <w:rPr>
                <w:rFonts w:asciiTheme="minorHAnsi" w:hAnsiTheme="minorHAnsi" w:cstheme="minorHAnsi"/>
                <w:lang w:val="fr-FR"/>
              </w:rPr>
              <w:t>c</w:t>
            </w:r>
            <w:r w:rsidRPr="008A0031">
              <w:rPr>
                <w:rFonts w:asciiTheme="minorHAnsi" w:hAnsiTheme="minorHAnsi" w:cstheme="minorHAnsi"/>
                <w:lang w:val="fr-FR"/>
              </w:rPr>
              <w:t xml:space="preserve"> nombre de com</w:t>
            </w:r>
            <w:r w:rsidR="006304C3" w:rsidRPr="008A0031">
              <w:rPr>
                <w:rFonts w:asciiTheme="minorHAnsi" w:hAnsiTheme="minorHAnsi" w:cstheme="minorHAnsi"/>
                <w:lang w:val="fr-FR"/>
              </w:rPr>
              <w:t>m</w:t>
            </w:r>
            <w:r w:rsidRPr="008A0031">
              <w:rPr>
                <w:rFonts w:asciiTheme="minorHAnsi" w:hAnsiTheme="minorHAnsi" w:cstheme="minorHAnsi"/>
                <w:lang w:val="fr-FR"/>
              </w:rPr>
              <w:t>unautés</w:t>
            </w:r>
            <w:r w:rsidR="006304C3" w:rsidRPr="008A0031">
              <w:rPr>
                <w:rFonts w:asciiTheme="minorHAnsi" w:hAnsiTheme="minorHAnsi" w:cstheme="minorHAnsi"/>
                <w:lang w:val="fr-FR"/>
              </w:rPr>
              <w:t>, ayant constaté les effets bénéfiques de la GCRN, désireuses de rejoindre le projet.</w:t>
            </w:r>
            <w:r w:rsidRPr="008A0031">
              <w:rPr>
                <w:rFonts w:asciiTheme="minorHAnsi" w:hAnsiTheme="minorHAnsi" w:cstheme="minorHAnsi"/>
                <w:lang w:val="fr-FR"/>
              </w:rPr>
              <w:t xml:space="preserve"> </w:t>
            </w:r>
            <w:r w:rsidR="00A3710C" w:rsidRPr="008A0031">
              <w:rPr>
                <w:rFonts w:asciiTheme="minorHAnsi" w:hAnsiTheme="minorHAnsi" w:cstheme="minorHAnsi"/>
                <w:lang w:val="fr-FR"/>
              </w:rPr>
              <w:t xml:space="preserve"> </w:t>
            </w:r>
            <w:r w:rsidR="00F84E7E" w:rsidRPr="008A0031">
              <w:rPr>
                <w:rFonts w:asciiTheme="minorHAnsi" w:hAnsiTheme="minorHAnsi" w:cstheme="minorHAnsi"/>
                <w:lang w:val="fr-FR"/>
              </w:rPr>
              <w:t>L’insécurité</w:t>
            </w:r>
            <w:r w:rsidRPr="008A0031">
              <w:rPr>
                <w:rFonts w:asciiTheme="minorHAnsi" w:hAnsiTheme="minorHAnsi" w:cstheme="minorHAnsi"/>
                <w:lang w:val="fr-FR"/>
              </w:rPr>
              <w:t xml:space="preserve"> grandissante a </w:t>
            </w:r>
            <w:r w:rsidR="006304C3" w:rsidRPr="008A0031">
              <w:rPr>
                <w:rFonts w:asciiTheme="minorHAnsi" w:hAnsiTheme="minorHAnsi" w:cstheme="minorHAnsi"/>
                <w:lang w:val="fr-FR"/>
              </w:rPr>
              <w:t>malheureusement</w:t>
            </w:r>
            <w:r w:rsidRPr="008A0031">
              <w:rPr>
                <w:rFonts w:asciiTheme="minorHAnsi" w:hAnsiTheme="minorHAnsi" w:cstheme="minorHAnsi"/>
                <w:lang w:val="fr-FR"/>
              </w:rPr>
              <w:t xml:space="preserve"> mis à mal </w:t>
            </w:r>
            <w:r w:rsidR="00FD1146" w:rsidRPr="008A0031">
              <w:rPr>
                <w:rFonts w:asciiTheme="minorHAnsi" w:hAnsiTheme="minorHAnsi" w:cstheme="minorHAnsi"/>
                <w:lang w:val="fr-FR"/>
              </w:rPr>
              <w:t>ces avancées</w:t>
            </w:r>
            <w:r w:rsidR="006304C3" w:rsidRPr="008A0031">
              <w:rPr>
                <w:rFonts w:asciiTheme="minorHAnsi" w:hAnsiTheme="minorHAnsi" w:cstheme="minorHAnsi"/>
                <w:lang w:val="fr-FR"/>
              </w:rPr>
              <w:t xml:space="preserve"> </w:t>
            </w:r>
            <w:r w:rsidR="00F84E7E">
              <w:rPr>
                <w:rFonts w:asciiTheme="minorHAnsi" w:hAnsiTheme="minorHAnsi" w:cstheme="minorHAnsi"/>
                <w:lang w:val="fr-FR"/>
              </w:rPr>
              <w:t>et</w:t>
            </w:r>
            <w:r w:rsidR="006304C3" w:rsidRPr="008A0031">
              <w:rPr>
                <w:rFonts w:asciiTheme="minorHAnsi" w:hAnsiTheme="minorHAnsi" w:cstheme="minorHAnsi"/>
                <w:lang w:val="fr-FR"/>
              </w:rPr>
              <w:t xml:space="preserve"> les progrès se limitent aujourd’hui aux zones encore accessibles</w:t>
            </w:r>
            <w:r w:rsidR="00FD1146" w:rsidRPr="008A0031">
              <w:rPr>
                <w:rFonts w:asciiTheme="minorHAnsi" w:hAnsiTheme="minorHAnsi" w:cstheme="minorHAnsi"/>
                <w:lang w:val="fr-FR"/>
              </w:rPr>
              <w:t xml:space="preserve">. Malgré cela, certaines activités comme </w:t>
            </w:r>
            <w:proofErr w:type="gramStart"/>
            <w:r w:rsidR="00FD1146" w:rsidRPr="008A0031">
              <w:rPr>
                <w:rFonts w:asciiTheme="minorHAnsi" w:hAnsiTheme="minorHAnsi" w:cstheme="minorHAnsi"/>
                <w:lang w:val="fr-FR"/>
              </w:rPr>
              <w:t>les pare-feu</w:t>
            </w:r>
            <w:proofErr w:type="gramEnd"/>
            <w:r w:rsidR="00FD1146" w:rsidRPr="008A0031">
              <w:rPr>
                <w:rFonts w:asciiTheme="minorHAnsi" w:hAnsiTheme="minorHAnsi" w:cstheme="minorHAnsi"/>
                <w:lang w:val="fr-FR"/>
              </w:rPr>
              <w:t xml:space="preserve">, </w:t>
            </w:r>
            <w:r w:rsidR="00B62E27" w:rsidRPr="008A0031">
              <w:rPr>
                <w:rFonts w:asciiTheme="minorHAnsi" w:hAnsiTheme="minorHAnsi" w:cstheme="minorHAnsi"/>
                <w:lang w:val="fr-FR"/>
              </w:rPr>
              <w:t>dont l’impact est immédiat</w:t>
            </w:r>
            <w:r w:rsidR="00FD1146" w:rsidRPr="008A0031">
              <w:rPr>
                <w:rFonts w:asciiTheme="minorHAnsi" w:hAnsiTheme="minorHAnsi" w:cstheme="minorHAnsi"/>
                <w:lang w:val="fr-FR"/>
              </w:rPr>
              <w:t xml:space="preserve">, sont </w:t>
            </w:r>
            <w:r w:rsidR="006304C3" w:rsidRPr="008A0031">
              <w:rPr>
                <w:rFonts w:asciiTheme="minorHAnsi" w:hAnsiTheme="minorHAnsi" w:cstheme="minorHAnsi"/>
                <w:lang w:val="fr-FR"/>
              </w:rPr>
              <w:t>extrêmement</w:t>
            </w:r>
            <w:r w:rsidR="00FD1146" w:rsidRPr="008A0031">
              <w:rPr>
                <w:rFonts w:asciiTheme="minorHAnsi" w:hAnsiTheme="minorHAnsi" w:cstheme="minorHAnsi"/>
                <w:lang w:val="fr-FR"/>
              </w:rPr>
              <w:t xml:space="preserve"> populaires et sont répliquées par des communautés </w:t>
            </w:r>
            <w:r w:rsidR="00B62E27" w:rsidRPr="008A0031">
              <w:rPr>
                <w:rFonts w:asciiTheme="minorHAnsi" w:hAnsiTheme="minorHAnsi" w:cstheme="minorHAnsi"/>
                <w:lang w:val="fr-FR"/>
              </w:rPr>
              <w:t xml:space="preserve">environnantes </w:t>
            </w:r>
            <w:r w:rsidR="00FD1146" w:rsidRPr="008A0031">
              <w:rPr>
                <w:rFonts w:asciiTheme="minorHAnsi" w:hAnsiTheme="minorHAnsi" w:cstheme="minorHAnsi"/>
                <w:lang w:val="fr-FR"/>
              </w:rPr>
              <w:t>sans l’app</w:t>
            </w:r>
            <w:r w:rsidR="00B62E27" w:rsidRPr="008A0031">
              <w:rPr>
                <w:rFonts w:asciiTheme="minorHAnsi" w:hAnsiTheme="minorHAnsi" w:cstheme="minorHAnsi"/>
                <w:lang w:val="fr-FR"/>
              </w:rPr>
              <w:t>ui financier</w:t>
            </w:r>
            <w:r w:rsidR="00FD1146" w:rsidRPr="008A0031">
              <w:rPr>
                <w:rFonts w:asciiTheme="minorHAnsi" w:hAnsiTheme="minorHAnsi" w:cstheme="minorHAnsi"/>
                <w:lang w:val="fr-FR"/>
              </w:rPr>
              <w:t xml:space="preserve"> du projet - ce qui démontre que le modèle fonctionne. Les </w:t>
            </w:r>
            <w:r w:rsidR="00B62E27" w:rsidRPr="008A0031">
              <w:rPr>
                <w:rFonts w:asciiTheme="minorHAnsi" w:hAnsiTheme="minorHAnsi" w:cstheme="minorHAnsi"/>
                <w:lang w:val="fr-FR"/>
              </w:rPr>
              <w:t>a</w:t>
            </w:r>
            <w:r w:rsidR="00FD1146" w:rsidRPr="008A0031">
              <w:rPr>
                <w:rFonts w:asciiTheme="minorHAnsi" w:hAnsiTheme="minorHAnsi" w:cstheme="minorHAnsi"/>
                <w:lang w:val="fr-FR"/>
              </w:rPr>
              <w:t>vancé</w:t>
            </w:r>
            <w:r w:rsidR="00D46BE0">
              <w:rPr>
                <w:rFonts w:asciiTheme="minorHAnsi" w:hAnsiTheme="minorHAnsi" w:cstheme="minorHAnsi"/>
                <w:lang w:val="fr-FR"/>
              </w:rPr>
              <w:t>e</w:t>
            </w:r>
            <w:r w:rsidR="00FD1146" w:rsidRPr="008A0031">
              <w:rPr>
                <w:rFonts w:asciiTheme="minorHAnsi" w:hAnsiTheme="minorHAnsi" w:cstheme="minorHAnsi"/>
                <w:lang w:val="fr-FR"/>
              </w:rPr>
              <w:t xml:space="preserve">s les plus </w:t>
            </w:r>
            <w:r w:rsidR="00B62E27" w:rsidRPr="008A0031">
              <w:rPr>
                <w:rFonts w:asciiTheme="minorHAnsi" w:hAnsiTheme="minorHAnsi" w:cstheme="minorHAnsi"/>
                <w:lang w:val="fr-FR"/>
              </w:rPr>
              <w:t>importantes</w:t>
            </w:r>
            <w:r w:rsidR="00FD1146" w:rsidRPr="008A0031">
              <w:rPr>
                <w:rFonts w:asciiTheme="minorHAnsi" w:hAnsiTheme="minorHAnsi" w:cstheme="minorHAnsi"/>
                <w:lang w:val="fr-FR"/>
              </w:rPr>
              <w:t xml:space="preserve"> </w:t>
            </w:r>
            <w:r w:rsidR="00B62E27" w:rsidRPr="008A0031">
              <w:rPr>
                <w:rFonts w:asciiTheme="minorHAnsi" w:hAnsiTheme="minorHAnsi" w:cstheme="minorHAnsi"/>
                <w:lang w:val="fr-FR"/>
              </w:rPr>
              <w:t xml:space="preserve">sont </w:t>
            </w:r>
            <w:r w:rsidR="00FD1146" w:rsidRPr="008A0031">
              <w:rPr>
                <w:rFonts w:asciiTheme="minorHAnsi" w:hAnsiTheme="minorHAnsi" w:cstheme="minorHAnsi"/>
                <w:lang w:val="fr-FR"/>
              </w:rPr>
              <w:t xml:space="preserve">constatées </w:t>
            </w:r>
            <w:r w:rsidR="00B62E27" w:rsidRPr="008A0031">
              <w:rPr>
                <w:rFonts w:asciiTheme="minorHAnsi" w:hAnsiTheme="minorHAnsi" w:cstheme="minorHAnsi"/>
                <w:lang w:val="fr-FR"/>
              </w:rPr>
              <w:t xml:space="preserve">dans les communautés avec un </w:t>
            </w:r>
            <w:r w:rsidR="00FD1146" w:rsidRPr="008A0031">
              <w:rPr>
                <w:rFonts w:asciiTheme="minorHAnsi" w:hAnsiTheme="minorHAnsi" w:cstheme="minorHAnsi"/>
                <w:lang w:val="fr-FR"/>
              </w:rPr>
              <w:t>niveau de cohésion socia</w:t>
            </w:r>
            <w:r w:rsidR="00B62E27" w:rsidRPr="008A0031">
              <w:rPr>
                <w:rFonts w:asciiTheme="minorHAnsi" w:hAnsiTheme="minorHAnsi" w:cstheme="minorHAnsi"/>
                <w:lang w:val="fr-FR"/>
              </w:rPr>
              <w:t>l</w:t>
            </w:r>
            <w:r w:rsidR="00FD1146" w:rsidRPr="008A0031">
              <w:rPr>
                <w:rFonts w:asciiTheme="minorHAnsi" w:hAnsiTheme="minorHAnsi" w:cstheme="minorHAnsi"/>
                <w:lang w:val="fr-FR"/>
              </w:rPr>
              <w:t xml:space="preserve"> élevé</w:t>
            </w:r>
            <w:r w:rsidR="00B62E27" w:rsidRPr="008A0031">
              <w:rPr>
                <w:rFonts w:asciiTheme="minorHAnsi" w:hAnsiTheme="minorHAnsi" w:cstheme="minorHAnsi"/>
                <w:lang w:val="fr-FR"/>
              </w:rPr>
              <w:t xml:space="preserve"> et celles-ci </w:t>
            </w:r>
            <w:r w:rsidR="005056B4" w:rsidRPr="008A0031">
              <w:rPr>
                <w:rFonts w:asciiTheme="minorHAnsi" w:hAnsiTheme="minorHAnsi" w:cstheme="minorHAnsi"/>
                <w:lang w:val="fr-FR"/>
              </w:rPr>
              <w:t>ne nécessitent bien souvent qu</w:t>
            </w:r>
            <w:r w:rsidR="00B62E27" w:rsidRPr="008A0031">
              <w:rPr>
                <w:rFonts w:asciiTheme="minorHAnsi" w:hAnsiTheme="minorHAnsi" w:cstheme="minorHAnsi"/>
                <w:lang w:val="fr-FR"/>
              </w:rPr>
              <w:t>’un soutien limité. D’autres communautés moins soudées</w:t>
            </w:r>
            <w:r w:rsidR="005056B4" w:rsidRPr="008A0031">
              <w:rPr>
                <w:rFonts w:asciiTheme="minorHAnsi" w:hAnsiTheme="minorHAnsi" w:cstheme="minorHAnsi"/>
                <w:lang w:val="fr-FR"/>
              </w:rPr>
              <w:t xml:space="preserve"> néce</w:t>
            </w:r>
            <w:r w:rsidR="00B62E27" w:rsidRPr="008A0031">
              <w:rPr>
                <w:rFonts w:asciiTheme="minorHAnsi" w:hAnsiTheme="minorHAnsi" w:cstheme="minorHAnsi"/>
                <w:lang w:val="fr-FR"/>
              </w:rPr>
              <w:t>ssitent un soutien</w:t>
            </w:r>
            <w:r w:rsidR="005056B4" w:rsidRPr="008A0031">
              <w:rPr>
                <w:rFonts w:asciiTheme="minorHAnsi" w:hAnsiTheme="minorHAnsi" w:cstheme="minorHAnsi"/>
                <w:lang w:val="fr-FR"/>
              </w:rPr>
              <w:t xml:space="preserve"> plus important, de </w:t>
            </w:r>
            <w:r w:rsidR="00B62E27" w:rsidRPr="008A0031">
              <w:rPr>
                <w:rFonts w:asciiTheme="minorHAnsi" w:hAnsiTheme="minorHAnsi" w:cstheme="minorHAnsi"/>
                <w:lang w:val="fr-FR"/>
              </w:rPr>
              <w:t>surcroît</w:t>
            </w:r>
            <w:r w:rsidR="005056B4" w:rsidRPr="008A0031">
              <w:rPr>
                <w:rFonts w:asciiTheme="minorHAnsi" w:hAnsiTheme="minorHAnsi" w:cstheme="minorHAnsi"/>
                <w:lang w:val="fr-FR"/>
              </w:rPr>
              <w:t xml:space="preserve"> </w:t>
            </w:r>
            <w:r w:rsidR="00B62E27" w:rsidRPr="008A0031">
              <w:rPr>
                <w:rFonts w:asciiTheme="minorHAnsi" w:hAnsiTheme="minorHAnsi" w:cstheme="minorHAnsi"/>
                <w:lang w:val="fr-FR"/>
              </w:rPr>
              <w:t>dans le contexte sécuritaire actuel qui</w:t>
            </w:r>
            <w:r w:rsidR="009E21D4">
              <w:rPr>
                <w:rFonts w:asciiTheme="minorHAnsi" w:hAnsiTheme="minorHAnsi" w:cstheme="minorHAnsi"/>
                <w:lang w:val="fr-FR"/>
              </w:rPr>
              <w:t xml:space="preserve"> met à l’épreuve</w:t>
            </w:r>
            <w:r w:rsidR="00B62E27" w:rsidRPr="008A0031">
              <w:rPr>
                <w:rFonts w:asciiTheme="minorHAnsi" w:hAnsiTheme="minorHAnsi" w:cstheme="minorHAnsi"/>
                <w:lang w:val="fr-FR"/>
              </w:rPr>
              <w:t xml:space="preserve"> les relations intra</w:t>
            </w:r>
            <w:r w:rsidR="00C21ACF">
              <w:rPr>
                <w:rFonts w:asciiTheme="minorHAnsi" w:hAnsiTheme="minorHAnsi" w:cstheme="minorHAnsi"/>
                <w:lang w:val="fr-FR"/>
              </w:rPr>
              <w:t>-</w:t>
            </w:r>
            <w:r w:rsidR="00B62E27" w:rsidRPr="008A0031">
              <w:rPr>
                <w:rFonts w:asciiTheme="minorHAnsi" w:hAnsiTheme="minorHAnsi" w:cstheme="minorHAnsi"/>
                <w:lang w:val="fr-FR"/>
              </w:rPr>
              <w:t xml:space="preserve"> et intercommunautaires.</w:t>
            </w:r>
          </w:p>
          <w:p w14:paraId="37923D64" w14:textId="01FA2AB2" w:rsidR="00555BBD" w:rsidRPr="00FA42D5" w:rsidRDefault="00B62E27" w:rsidP="001064FF">
            <w:pPr>
              <w:suppressAutoHyphens/>
              <w:spacing w:after="120"/>
              <w:jc w:val="both"/>
              <w:rPr>
                <w:i/>
                <w:lang w:val="fr-FR"/>
              </w:rPr>
            </w:pPr>
            <w:r w:rsidRPr="008A0031">
              <w:rPr>
                <w:rFonts w:asciiTheme="minorHAnsi" w:hAnsiTheme="minorHAnsi" w:cstheme="minorHAnsi"/>
                <w:lang w:val="fr-FR"/>
              </w:rPr>
              <w:t>Aujourd’hui, l</w:t>
            </w:r>
            <w:r w:rsidR="000674E6" w:rsidRPr="008A0031">
              <w:rPr>
                <w:rFonts w:asciiTheme="minorHAnsi" w:hAnsiTheme="minorHAnsi" w:cstheme="minorHAnsi"/>
                <w:lang w:val="fr-FR"/>
              </w:rPr>
              <w:t>'engagement des collectivités terri</w:t>
            </w:r>
            <w:r w:rsidRPr="008A0031">
              <w:rPr>
                <w:rFonts w:asciiTheme="minorHAnsi" w:hAnsiTheme="minorHAnsi" w:cstheme="minorHAnsi"/>
                <w:lang w:val="fr-FR"/>
              </w:rPr>
              <w:t>toriales</w:t>
            </w:r>
            <w:r w:rsidR="000674E6" w:rsidRPr="008A0031">
              <w:rPr>
                <w:rFonts w:asciiTheme="minorHAnsi" w:hAnsiTheme="minorHAnsi" w:cstheme="minorHAnsi"/>
                <w:lang w:val="fr-FR"/>
              </w:rPr>
              <w:t xml:space="preserve">, en </w:t>
            </w:r>
            <w:r w:rsidRPr="008A0031">
              <w:rPr>
                <w:rFonts w:asciiTheme="minorHAnsi" w:hAnsiTheme="minorHAnsi" w:cstheme="minorHAnsi"/>
                <w:lang w:val="fr-FR"/>
              </w:rPr>
              <w:t>particulier</w:t>
            </w:r>
            <w:r w:rsidR="000674E6" w:rsidRPr="008A0031">
              <w:rPr>
                <w:rFonts w:asciiTheme="minorHAnsi" w:hAnsiTheme="minorHAnsi" w:cstheme="minorHAnsi"/>
                <w:lang w:val="fr-FR"/>
              </w:rPr>
              <w:t xml:space="preserve"> les communes à travers les maires, </w:t>
            </w:r>
            <w:r w:rsidR="003522B7">
              <w:rPr>
                <w:rFonts w:asciiTheme="minorHAnsi" w:hAnsiTheme="minorHAnsi" w:cstheme="minorHAnsi"/>
                <w:lang w:val="fr-FR"/>
              </w:rPr>
              <w:t>le développement</w:t>
            </w:r>
            <w:r w:rsidR="000674E6" w:rsidRPr="008A0031">
              <w:rPr>
                <w:rFonts w:asciiTheme="minorHAnsi" w:hAnsiTheme="minorHAnsi" w:cstheme="minorHAnsi"/>
                <w:lang w:val="fr-FR"/>
              </w:rPr>
              <w:t xml:space="preserve"> </w:t>
            </w:r>
            <w:r w:rsidR="003522B7">
              <w:rPr>
                <w:rFonts w:asciiTheme="minorHAnsi" w:hAnsiTheme="minorHAnsi" w:cstheme="minorHAnsi"/>
                <w:lang w:val="fr-FR"/>
              </w:rPr>
              <w:t>de</w:t>
            </w:r>
            <w:r w:rsidR="000674E6" w:rsidRPr="008A0031">
              <w:rPr>
                <w:rFonts w:asciiTheme="minorHAnsi" w:hAnsiTheme="minorHAnsi" w:cstheme="minorHAnsi"/>
                <w:lang w:val="fr-FR"/>
              </w:rPr>
              <w:t xml:space="preserve"> conventions de GRN </w:t>
            </w:r>
            <w:r w:rsidR="003522B7">
              <w:rPr>
                <w:rFonts w:asciiTheme="minorHAnsi" w:hAnsiTheme="minorHAnsi" w:cstheme="minorHAnsi"/>
                <w:lang w:val="fr-FR"/>
              </w:rPr>
              <w:t xml:space="preserve">et de </w:t>
            </w:r>
            <w:r w:rsidR="000674E6" w:rsidRPr="008A0031">
              <w:rPr>
                <w:rFonts w:asciiTheme="minorHAnsi" w:hAnsiTheme="minorHAnsi" w:cstheme="minorHAnsi"/>
                <w:lang w:val="fr-FR"/>
              </w:rPr>
              <w:t xml:space="preserve">plans de développement communaux </w:t>
            </w:r>
            <w:r w:rsidRPr="008A0031">
              <w:rPr>
                <w:rFonts w:asciiTheme="minorHAnsi" w:hAnsiTheme="minorHAnsi" w:cstheme="minorHAnsi"/>
                <w:lang w:val="fr-FR"/>
              </w:rPr>
              <w:t xml:space="preserve">(PDESC) </w:t>
            </w:r>
            <w:r w:rsidR="003522B7">
              <w:rPr>
                <w:rFonts w:asciiTheme="minorHAnsi" w:hAnsiTheme="minorHAnsi" w:cstheme="minorHAnsi"/>
                <w:lang w:val="fr-FR"/>
              </w:rPr>
              <w:t xml:space="preserve">qui prennent en compte la GRN </w:t>
            </w:r>
            <w:r w:rsidR="000674E6" w:rsidRPr="008A0031">
              <w:rPr>
                <w:rFonts w:asciiTheme="minorHAnsi" w:hAnsiTheme="minorHAnsi" w:cstheme="minorHAnsi"/>
                <w:lang w:val="fr-FR"/>
              </w:rPr>
              <w:t xml:space="preserve">sont d’autres éléments qui </w:t>
            </w:r>
            <w:r w:rsidRPr="008A0031">
              <w:rPr>
                <w:rFonts w:asciiTheme="minorHAnsi" w:hAnsiTheme="minorHAnsi" w:cstheme="minorHAnsi"/>
                <w:lang w:val="fr-FR"/>
              </w:rPr>
              <w:t>soutiennent</w:t>
            </w:r>
            <w:r w:rsidR="000674E6" w:rsidRPr="008A0031">
              <w:rPr>
                <w:rFonts w:asciiTheme="minorHAnsi" w:hAnsiTheme="minorHAnsi" w:cstheme="minorHAnsi"/>
                <w:lang w:val="fr-FR"/>
              </w:rPr>
              <w:t xml:space="preserve"> cette durabilité</w:t>
            </w:r>
            <w:r w:rsidRPr="008A0031">
              <w:rPr>
                <w:rFonts w:asciiTheme="minorHAnsi" w:hAnsiTheme="minorHAnsi" w:cstheme="minorHAnsi"/>
                <w:lang w:val="fr-FR"/>
              </w:rPr>
              <w:t>,</w:t>
            </w:r>
            <w:r w:rsidR="000674E6" w:rsidRPr="008A0031">
              <w:rPr>
                <w:rFonts w:asciiTheme="minorHAnsi" w:hAnsiTheme="minorHAnsi" w:cstheme="minorHAnsi"/>
                <w:lang w:val="fr-FR"/>
              </w:rPr>
              <w:t xml:space="preserve"> tout comme la création de la nouvelle </w:t>
            </w:r>
            <w:r w:rsidRPr="008A0031">
              <w:rPr>
                <w:rFonts w:asciiTheme="minorHAnsi" w:hAnsiTheme="minorHAnsi" w:cstheme="minorHAnsi"/>
                <w:lang w:val="fr-FR"/>
              </w:rPr>
              <w:t>R</w:t>
            </w:r>
            <w:r w:rsidR="000674E6" w:rsidRPr="008A0031">
              <w:rPr>
                <w:rFonts w:asciiTheme="minorHAnsi" w:hAnsiTheme="minorHAnsi" w:cstheme="minorHAnsi"/>
                <w:lang w:val="fr-FR"/>
              </w:rPr>
              <w:t xml:space="preserve">éserve de </w:t>
            </w:r>
            <w:r w:rsidRPr="008A0031">
              <w:rPr>
                <w:rFonts w:asciiTheme="minorHAnsi" w:hAnsiTheme="minorHAnsi" w:cstheme="minorHAnsi"/>
                <w:lang w:val="fr-FR"/>
              </w:rPr>
              <w:t>B</w:t>
            </w:r>
            <w:r w:rsidR="000674E6" w:rsidRPr="008A0031">
              <w:rPr>
                <w:rFonts w:asciiTheme="minorHAnsi" w:hAnsiTheme="minorHAnsi" w:cstheme="minorHAnsi"/>
                <w:lang w:val="fr-FR"/>
              </w:rPr>
              <w:t xml:space="preserve">iosphère du Gourma qui </w:t>
            </w:r>
            <w:r w:rsidRPr="008A0031">
              <w:rPr>
                <w:rFonts w:asciiTheme="minorHAnsi" w:hAnsiTheme="minorHAnsi" w:cstheme="minorHAnsi"/>
                <w:lang w:val="fr-FR"/>
              </w:rPr>
              <w:t>fournira</w:t>
            </w:r>
            <w:r w:rsidR="000674E6" w:rsidRPr="008A0031">
              <w:rPr>
                <w:rFonts w:asciiTheme="minorHAnsi" w:hAnsiTheme="minorHAnsi" w:cstheme="minorHAnsi"/>
                <w:lang w:val="fr-FR"/>
              </w:rPr>
              <w:t xml:space="preserve"> a</w:t>
            </w:r>
            <w:r w:rsidRPr="008A0031">
              <w:rPr>
                <w:rFonts w:asciiTheme="minorHAnsi" w:hAnsiTheme="minorHAnsi" w:cstheme="minorHAnsi"/>
                <w:lang w:val="fr-FR"/>
              </w:rPr>
              <w:t>u</w:t>
            </w:r>
            <w:r w:rsidR="000674E6" w:rsidRPr="008A0031">
              <w:rPr>
                <w:rFonts w:asciiTheme="minorHAnsi" w:hAnsiTheme="minorHAnsi" w:cstheme="minorHAnsi"/>
                <w:lang w:val="fr-FR"/>
              </w:rPr>
              <w:t xml:space="preserve">x agents de la DNEF le mandat nécessaire pour </w:t>
            </w:r>
            <w:r w:rsidRPr="008A0031">
              <w:rPr>
                <w:rFonts w:asciiTheme="minorHAnsi" w:hAnsiTheme="minorHAnsi" w:cstheme="minorHAnsi"/>
                <w:lang w:val="fr-FR"/>
              </w:rPr>
              <w:t>appuyer les communautés dans la mise en œuvre de leurs conventions en faisant respecter</w:t>
            </w:r>
            <w:r w:rsidR="000674E6" w:rsidRPr="008A0031">
              <w:rPr>
                <w:rFonts w:asciiTheme="minorHAnsi" w:hAnsiTheme="minorHAnsi" w:cstheme="minorHAnsi"/>
                <w:lang w:val="fr-FR"/>
              </w:rPr>
              <w:t xml:space="preserve"> les </w:t>
            </w:r>
            <w:r w:rsidRPr="008A0031">
              <w:rPr>
                <w:rFonts w:asciiTheme="minorHAnsi" w:hAnsiTheme="minorHAnsi" w:cstheme="minorHAnsi"/>
                <w:lang w:val="fr-FR"/>
              </w:rPr>
              <w:t>lois</w:t>
            </w:r>
            <w:r w:rsidR="000674E6" w:rsidRPr="008A0031">
              <w:rPr>
                <w:rFonts w:asciiTheme="minorHAnsi" w:hAnsiTheme="minorHAnsi" w:cstheme="minorHAnsi"/>
                <w:lang w:val="fr-FR"/>
              </w:rPr>
              <w:t xml:space="preserve"> </w:t>
            </w:r>
            <w:r w:rsidRPr="008A0031">
              <w:rPr>
                <w:rFonts w:asciiTheme="minorHAnsi" w:hAnsiTheme="minorHAnsi" w:cstheme="minorHAnsi"/>
                <w:lang w:val="fr-FR"/>
              </w:rPr>
              <w:t>en la matière, l</w:t>
            </w:r>
            <w:r w:rsidR="000674E6" w:rsidRPr="008A0031">
              <w:rPr>
                <w:rFonts w:asciiTheme="minorHAnsi" w:hAnsiTheme="minorHAnsi" w:cstheme="minorHAnsi"/>
                <w:lang w:val="fr-FR"/>
              </w:rPr>
              <w:t>e but ultime étant pour l’aire de répartition des éléphants dans son ensemble d’être gérée de manière durable</w:t>
            </w:r>
            <w:r w:rsidR="009E21D4">
              <w:rPr>
                <w:rFonts w:asciiTheme="minorHAnsi" w:hAnsiTheme="minorHAnsi" w:cstheme="minorHAnsi"/>
                <w:lang w:val="fr-FR"/>
              </w:rPr>
              <w:t>,</w:t>
            </w:r>
            <w:r w:rsidR="000674E6" w:rsidRPr="008A0031">
              <w:rPr>
                <w:rFonts w:asciiTheme="minorHAnsi" w:hAnsiTheme="minorHAnsi" w:cstheme="minorHAnsi"/>
                <w:lang w:val="fr-FR"/>
              </w:rPr>
              <w:t xml:space="preserve"> dans le cadre de </w:t>
            </w:r>
            <w:r w:rsidRPr="008A0031">
              <w:rPr>
                <w:rFonts w:asciiTheme="minorHAnsi" w:hAnsiTheme="minorHAnsi" w:cstheme="minorHAnsi"/>
                <w:lang w:val="fr-FR"/>
              </w:rPr>
              <w:t>systèmes</w:t>
            </w:r>
            <w:r w:rsidR="000674E6" w:rsidRPr="008A0031">
              <w:rPr>
                <w:rFonts w:asciiTheme="minorHAnsi" w:hAnsiTheme="minorHAnsi" w:cstheme="minorHAnsi"/>
                <w:lang w:val="fr-FR"/>
              </w:rPr>
              <w:t xml:space="preserve"> de GCRN</w:t>
            </w:r>
            <w:r w:rsidR="00FA42D5" w:rsidRPr="008A0031">
              <w:rPr>
                <w:rFonts w:asciiTheme="minorHAnsi" w:hAnsiTheme="minorHAnsi" w:cstheme="minorHAnsi"/>
                <w:lang w:val="fr-FR"/>
              </w:rPr>
              <w:t xml:space="preserve"> renforcés par, et appuyant, l</w:t>
            </w:r>
            <w:r w:rsidRPr="008A0031">
              <w:rPr>
                <w:rFonts w:asciiTheme="minorHAnsi" w:hAnsiTheme="minorHAnsi" w:cstheme="minorHAnsi"/>
                <w:lang w:val="fr-FR"/>
              </w:rPr>
              <w:t>e plan de</w:t>
            </w:r>
            <w:r w:rsidR="00FA42D5" w:rsidRPr="008A0031">
              <w:rPr>
                <w:rFonts w:asciiTheme="minorHAnsi" w:hAnsiTheme="minorHAnsi" w:cstheme="minorHAnsi"/>
                <w:lang w:val="fr-FR"/>
              </w:rPr>
              <w:t xml:space="preserve"> gestion</w:t>
            </w:r>
            <w:r w:rsidRPr="008A0031">
              <w:rPr>
                <w:rFonts w:asciiTheme="minorHAnsi" w:hAnsiTheme="minorHAnsi" w:cstheme="minorHAnsi"/>
                <w:lang w:val="fr-FR"/>
              </w:rPr>
              <w:t xml:space="preserve"> et la législation de la réserve.</w:t>
            </w:r>
          </w:p>
        </w:tc>
      </w:tr>
    </w:tbl>
    <w:p w14:paraId="31420CA2" w14:textId="77777777" w:rsidR="00D0651C" w:rsidRPr="00FA42D5" w:rsidRDefault="00D0651C" w:rsidP="00D1721E">
      <w:pPr>
        <w:rPr>
          <w:sz w:val="24"/>
          <w:szCs w:val="24"/>
          <w:lang w:val="fr-FR"/>
        </w:rPr>
      </w:pPr>
    </w:p>
    <w:tbl>
      <w:tblPr>
        <w:tblW w:w="10283"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3"/>
      </w:tblGrid>
      <w:tr w:rsidR="00D1721E" w:rsidRPr="00135BB1" w14:paraId="59CE83E4" w14:textId="77777777" w:rsidTr="00432F72">
        <w:tc>
          <w:tcPr>
            <w:tcW w:w="10283" w:type="dxa"/>
            <w:shd w:val="clear" w:color="auto" w:fill="BDD6EE"/>
          </w:tcPr>
          <w:p w14:paraId="4DEB5FFE" w14:textId="77777777" w:rsidR="00D1721E" w:rsidRPr="00135BB1" w:rsidRDefault="00555BBD" w:rsidP="0015616F">
            <w:pPr>
              <w:numPr>
                <w:ilvl w:val="0"/>
                <w:numId w:val="2"/>
              </w:numPr>
              <w:suppressAutoHyphens/>
              <w:spacing w:after="120" w:line="240" w:lineRule="auto"/>
              <w:rPr>
                <w:b/>
                <w:bCs/>
                <w:sz w:val="24"/>
                <w:szCs w:val="24"/>
                <w:lang w:val="fr-FR"/>
              </w:rPr>
            </w:pPr>
            <w:r w:rsidRPr="00135BB1">
              <w:rPr>
                <w:b/>
                <w:bCs/>
                <w:sz w:val="24"/>
                <w:szCs w:val="24"/>
                <w:lang w:val="fr-FR"/>
              </w:rPr>
              <w:t>Visibilité et couverture médiatique</w:t>
            </w:r>
          </w:p>
        </w:tc>
      </w:tr>
      <w:tr w:rsidR="00D1721E" w:rsidRPr="00B12AE6" w14:paraId="1E586F09" w14:textId="77777777" w:rsidTr="00432F72">
        <w:tc>
          <w:tcPr>
            <w:tcW w:w="10283" w:type="dxa"/>
            <w:shd w:val="clear" w:color="auto" w:fill="auto"/>
          </w:tcPr>
          <w:p w14:paraId="62A69BE4" w14:textId="77777777" w:rsidR="00032E20" w:rsidRPr="00135BB1" w:rsidRDefault="00555BBD" w:rsidP="00032E20">
            <w:pPr>
              <w:pStyle w:val="Paragraphedeliste"/>
              <w:spacing w:after="0" w:line="240" w:lineRule="auto"/>
              <w:ind w:left="0"/>
              <w:rPr>
                <w:rFonts w:cs="Times New Roman"/>
                <w:i/>
                <w:iCs/>
                <w:color w:val="000000"/>
                <w:lang w:val="fr-FR"/>
              </w:rPr>
            </w:pPr>
            <w:r w:rsidRPr="00135BB1">
              <w:rPr>
                <w:rFonts w:cs="Times New Roman"/>
                <w:i/>
                <w:color w:val="000000"/>
                <w:lang w:val="fr-FR"/>
              </w:rPr>
              <w:t>Veuillez d</w:t>
            </w:r>
            <w:r w:rsidRPr="00135BB1">
              <w:rPr>
                <w:rFonts w:cs="Times New Roman"/>
                <w:i/>
                <w:iCs/>
                <w:color w:val="000000"/>
                <w:lang w:val="fr-FR"/>
              </w:rPr>
              <w:t>écrivez comment vous avez impliqué les médias dans le projet et les activités du projet. Énumérez toute la couverture médiatique du projet au cours de la période considérée, y compris les communiqués de presse, la radio, les interviews, les clips de presse, etc.</w:t>
            </w:r>
          </w:p>
          <w:p w14:paraId="2CB76068" w14:textId="77777777" w:rsidR="00555BBD" w:rsidRPr="00135BB1" w:rsidRDefault="00555BBD" w:rsidP="00032E20">
            <w:pPr>
              <w:pStyle w:val="Paragraphedeliste"/>
              <w:spacing w:after="0" w:line="240" w:lineRule="auto"/>
              <w:ind w:left="0"/>
              <w:rPr>
                <w:rFonts w:cs="Times New Roman"/>
                <w:i/>
                <w:iCs/>
                <w:color w:val="000000"/>
                <w:lang w:val="fr-FR"/>
              </w:rPr>
            </w:pPr>
          </w:p>
          <w:p w14:paraId="19BDB86A" w14:textId="6E384D12" w:rsidR="00555BBD" w:rsidRPr="00166AE1" w:rsidRDefault="00402C2E" w:rsidP="00166AE1">
            <w:pPr>
              <w:suppressAutoHyphens/>
              <w:spacing w:after="120"/>
              <w:jc w:val="both"/>
              <w:rPr>
                <w:rFonts w:asciiTheme="minorHAnsi" w:hAnsiTheme="minorHAnsi" w:cstheme="minorHAnsi"/>
                <w:lang w:val="fr-FR"/>
              </w:rPr>
            </w:pPr>
            <w:r w:rsidRPr="0080470A">
              <w:rPr>
                <w:rFonts w:asciiTheme="minorHAnsi" w:hAnsiTheme="minorHAnsi" w:cstheme="minorHAnsi"/>
                <w:lang w:val="fr-FR"/>
              </w:rPr>
              <w:t>Comme décrit dans la section VI, le</w:t>
            </w:r>
            <w:r w:rsidR="00135BB1" w:rsidRPr="0080470A">
              <w:rPr>
                <w:rFonts w:asciiTheme="minorHAnsi" w:hAnsiTheme="minorHAnsi" w:cstheme="minorHAnsi"/>
                <w:lang w:val="fr-FR"/>
              </w:rPr>
              <w:t xml:space="preserve"> projet s’attache à conserver un profil aussi bas que possible en raison du </w:t>
            </w:r>
            <w:r w:rsidR="00135BB1" w:rsidRPr="0080470A">
              <w:rPr>
                <w:rFonts w:asciiTheme="minorHAnsi" w:hAnsiTheme="minorHAnsi" w:cstheme="minorHAnsi"/>
                <w:lang w:val="fr-FR"/>
              </w:rPr>
              <w:lastRenderedPageBreak/>
              <w:t>contexte sécuritaire</w:t>
            </w:r>
            <w:r w:rsidRPr="0080470A">
              <w:rPr>
                <w:rFonts w:asciiTheme="minorHAnsi" w:hAnsiTheme="minorHAnsi" w:cstheme="minorHAnsi"/>
                <w:lang w:val="fr-FR"/>
              </w:rPr>
              <w:t>, ce qui limite sa visibilité, notamment au niveau local. Le projet a d’ailleurs bénéficié d’une dérogation aux règles de visibilité de l’UE dans ce sens</w:t>
            </w:r>
            <w:r w:rsidR="00F84E7E" w:rsidRPr="0080470A">
              <w:rPr>
                <w:rFonts w:asciiTheme="minorHAnsi" w:hAnsiTheme="minorHAnsi" w:cstheme="minorHAnsi"/>
                <w:lang w:val="fr-FR"/>
              </w:rPr>
              <w:t>.</w:t>
            </w:r>
            <w:r w:rsidR="003522B7">
              <w:rPr>
                <w:rFonts w:asciiTheme="minorHAnsi" w:hAnsiTheme="minorHAnsi" w:cstheme="minorHAnsi"/>
                <w:lang w:val="fr-FR"/>
              </w:rPr>
              <w:t xml:space="preserve"> </w:t>
            </w:r>
            <w:r w:rsidR="0085435D" w:rsidRPr="0085435D">
              <w:rPr>
                <w:rFonts w:asciiTheme="minorHAnsi" w:hAnsiTheme="minorHAnsi" w:cstheme="minorHAnsi"/>
                <w:lang w:val="fr-FR"/>
              </w:rPr>
              <w:t>Le projet tente d'éviter complètement les médias sociaux car il est impossible de contrôler qui reçoit quels messages, et il est vital pour la sécurité de l'équipe de terrain et des écogardes qu'ils ne soient pas associés à des organisations ou des financements étrangers, ni à l'État, pour éviter d'être pris pour cible par des groupes terroristes insurgés.</w:t>
            </w:r>
            <w:r w:rsidR="003522B7">
              <w:rPr>
                <w:rFonts w:asciiTheme="minorHAnsi" w:hAnsiTheme="minorHAnsi" w:cstheme="minorHAnsi"/>
                <w:lang w:val="fr-FR"/>
              </w:rPr>
              <w:t xml:space="preserve"> </w:t>
            </w:r>
            <w:r w:rsidRPr="00F84E7E">
              <w:rPr>
                <w:rFonts w:asciiTheme="minorHAnsi" w:hAnsiTheme="minorHAnsi" w:cstheme="minorHAnsi"/>
                <w:lang w:val="fr-FR"/>
              </w:rPr>
              <w:t>Le PEM s’attache néanmoins à assurer la visibilité de ses partenaires dans la mesure du possible, notamment lors de rencontres au niveau national et international, lors de webinaires et d’ateliers avec une audience spécifique, dans les rapports d’activités et documents de communication</w:t>
            </w:r>
            <w:r w:rsidR="00F068C0" w:rsidRPr="00F84E7E">
              <w:rPr>
                <w:rFonts w:asciiTheme="minorHAnsi" w:hAnsiTheme="minorHAnsi" w:cstheme="minorHAnsi"/>
                <w:lang w:val="fr-FR"/>
              </w:rPr>
              <w:t xml:space="preserve">, et à travers des articles visant les décideurs politiques et les acteurs de la conservation. </w:t>
            </w:r>
          </w:p>
        </w:tc>
      </w:tr>
    </w:tbl>
    <w:p w14:paraId="41A86C69" w14:textId="77777777" w:rsidR="00555BBD" w:rsidRPr="00AB33E5" w:rsidRDefault="00555BBD" w:rsidP="00256E5A">
      <w:pPr>
        <w:rPr>
          <w:sz w:val="24"/>
          <w:szCs w:val="24"/>
          <w:lang w:val="fr-FR"/>
        </w:rPr>
      </w:pPr>
    </w:p>
    <w:tbl>
      <w:tblPr>
        <w:tblW w:w="10283"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3"/>
      </w:tblGrid>
      <w:tr w:rsidR="00256E5A" w:rsidRPr="00B12AE6" w14:paraId="28B4A45D" w14:textId="77777777" w:rsidTr="00432F72">
        <w:tc>
          <w:tcPr>
            <w:tcW w:w="10283" w:type="dxa"/>
            <w:shd w:val="clear" w:color="auto" w:fill="BDD6EE"/>
          </w:tcPr>
          <w:p w14:paraId="7553BE33" w14:textId="77777777" w:rsidR="00256E5A" w:rsidRPr="00135BB1" w:rsidRDefault="00555BBD" w:rsidP="0015616F">
            <w:pPr>
              <w:numPr>
                <w:ilvl w:val="0"/>
                <w:numId w:val="2"/>
              </w:numPr>
              <w:suppressAutoHyphens/>
              <w:spacing w:after="120" w:line="240" w:lineRule="auto"/>
              <w:rPr>
                <w:b/>
                <w:bCs/>
                <w:sz w:val="24"/>
                <w:szCs w:val="24"/>
                <w:lang w:val="fr-FR"/>
              </w:rPr>
            </w:pPr>
            <w:r w:rsidRPr="00135BB1">
              <w:rPr>
                <w:b/>
                <w:bCs/>
                <w:sz w:val="24"/>
                <w:szCs w:val="24"/>
                <w:lang w:val="fr-FR"/>
              </w:rPr>
              <w:t>Études de cas et histoires de réussite</w:t>
            </w:r>
          </w:p>
        </w:tc>
      </w:tr>
      <w:tr w:rsidR="00256E5A" w:rsidRPr="00B12AE6" w14:paraId="5A3F5D31" w14:textId="77777777" w:rsidTr="00432F72">
        <w:tc>
          <w:tcPr>
            <w:tcW w:w="10283" w:type="dxa"/>
            <w:shd w:val="clear" w:color="auto" w:fill="auto"/>
          </w:tcPr>
          <w:p w14:paraId="351244C0" w14:textId="77777777" w:rsidR="00256E5A" w:rsidRPr="00135BB1" w:rsidRDefault="00555BBD" w:rsidP="00256E5A">
            <w:pPr>
              <w:pStyle w:val="Paragraphedeliste"/>
              <w:spacing w:after="0" w:line="240" w:lineRule="auto"/>
              <w:ind w:left="0"/>
              <w:rPr>
                <w:rFonts w:cs="Times New Roman"/>
                <w:i/>
                <w:lang w:val="fr-FR"/>
              </w:rPr>
            </w:pPr>
            <w:r w:rsidRPr="00135BB1">
              <w:rPr>
                <w:rFonts w:cs="Times New Roman"/>
                <w:i/>
                <w:lang w:val="fr-FR"/>
              </w:rPr>
              <w:t>Remarque : les histoires de réussite, les témoignages et les études de cas peuvent être utilisés à différentes fins de communication et de rapport, telles que (mais sans s'y limiter) les bulletins d'information, les publications sur le site Web et les rapports des donateurs. Veuillez-vous assurer - en partageant ces histoires et études de cas - que les principes de protection, y compris la confidentialité et le consentement du bénéficiaire, sont respectés.</w:t>
            </w:r>
          </w:p>
          <w:p w14:paraId="18E43FBC" w14:textId="77777777" w:rsidR="00555BBD" w:rsidRPr="00135BB1" w:rsidRDefault="00555BBD" w:rsidP="00256E5A">
            <w:pPr>
              <w:pStyle w:val="Paragraphedeliste"/>
              <w:spacing w:after="0" w:line="240" w:lineRule="auto"/>
              <w:ind w:left="0"/>
              <w:rPr>
                <w:rFonts w:cs="Times New Roman"/>
                <w:i/>
                <w:lang w:val="fr-FR"/>
              </w:rPr>
            </w:pPr>
          </w:p>
          <w:p w14:paraId="076DDBCD" w14:textId="77777777" w:rsidR="00555BBD" w:rsidRPr="00135BB1" w:rsidRDefault="00555BBD" w:rsidP="00256E5A">
            <w:pPr>
              <w:pStyle w:val="Paragraphedeliste"/>
              <w:spacing w:after="0" w:line="240" w:lineRule="auto"/>
              <w:ind w:left="0"/>
              <w:rPr>
                <w:rFonts w:cs="Times New Roman"/>
                <w:i/>
                <w:lang w:val="fr-FR"/>
              </w:rPr>
            </w:pPr>
          </w:p>
          <w:p w14:paraId="1C960C69" w14:textId="77777777" w:rsidR="00555BBD" w:rsidRPr="00135BB1" w:rsidRDefault="00555BBD" w:rsidP="00256E5A">
            <w:pPr>
              <w:pStyle w:val="Paragraphedeliste"/>
              <w:spacing w:after="0" w:line="240" w:lineRule="auto"/>
              <w:ind w:left="0"/>
              <w:rPr>
                <w:rFonts w:cs="Times New Roman"/>
                <w:i/>
                <w:lang w:val="fr-FR"/>
              </w:rPr>
            </w:pPr>
          </w:p>
          <w:p w14:paraId="4366CFD1" w14:textId="77777777" w:rsidR="00555BBD" w:rsidRPr="00135BB1" w:rsidRDefault="00555BBD" w:rsidP="00256E5A">
            <w:pPr>
              <w:pStyle w:val="Paragraphedeliste"/>
              <w:spacing w:after="0" w:line="240" w:lineRule="auto"/>
              <w:ind w:left="0"/>
              <w:rPr>
                <w:rFonts w:cs="Times New Roman"/>
                <w:i/>
                <w:sz w:val="24"/>
                <w:szCs w:val="24"/>
                <w:lang w:val="fr-FR"/>
              </w:rPr>
            </w:pPr>
          </w:p>
        </w:tc>
      </w:tr>
    </w:tbl>
    <w:p w14:paraId="4BE6F997" w14:textId="77777777" w:rsidR="00555BBD" w:rsidRPr="00135BB1" w:rsidRDefault="00555BBD" w:rsidP="00256E5A">
      <w:pPr>
        <w:rPr>
          <w:sz w:val="24"/>
          <w:szCs w:val="24"/>
          <w:lang w:val="fr-FR"/>
        </w:rPr>
      </w:pPr>
    </w:p>
    <w:tbl>
      <w:tblPr>
        <w:tblW w:w="10193"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3"/>
      </w:tblGrid>
      <w:tr w:rsidR="00256E5A" w:rsidRPr="00135BB1" w14:paraId="21BCA12C" w14:textId="77777777" w:rsidTr="00504738">
        <w:tc>
          <w:tcPr>
            <w:tcW w:w="10193" w:type="dxa"/>
            <w:shd w:val="clear" w:color="auto" w:fill="BDD6EE"/>
          </w:tcPr>
          <w:p w14:paraId="7701F90F" w14:textId="77777777" w:rsidR="00256E5A" w:rsidRPr="00135BB1" w:rsidRDefault="00555BBD" w:rsidP="0015616F">
            <w:pPr>
              <w:numPr>
                <w:ilvl w:val="0"/>
                <w:numId w:val="2"/>
              </w:numPr>
              <w:suppressAutoHyphens/>
              <w:spacing w:after="120" w:line="240" w:lineRule="auto"/>
              <w:rPr>
                <w:b/>
                <w:bCs/>
                <w:sz w:val="24"/>
                <w:szCs w:val="24"/>
                <w:lang w:val="fr-FR"/>
              </w:rPr>
            </w:pPr>
            <w:r w:rsidRPr="00135BB1">
              <w:rPr>
                <w:b/>
                <w:bCs/>
                <w:sz w:val="24"/>
                <w:szCs w:val="24"/>
                <w:lang w:val="fr-FR"/>
              </w:rPr>
              <w:t>Activités futures</w:t>
            </w:r>
          </w:p>
        </w:tc>
      </w:tr>
      <w:tr w:rsidR="00256E5A" w:rsidRPr="00B12AE6" w14:paraId="001E7762" w14:textId="77777777" w:rsidTr="00504738">
        <w:tc>
          <w:tcPr>
            <w:tcW w:w="10193" w:type="dxa"/>
            <w:shd w:val="clear" w:color="auto" w:fill="auto"/>
          </w:tcPr>
          <w:p w14:paraId="047CA117" w14:textId="47A8C488" w:rsidR="00A04C83" w:rsidRDefault="00555BBD" w:rsidP="00504738">
            <w:pPr>
              <w:pStyle w:val="Paragraphedeliste"/>
              <w:spacing w:after="0" w:line="240" w:lineRule="auto"/>
              <w:ind w:left="0"/>
              <w:rPr>
                <w:rFonts w:cs="Times New Roman"/>
                <w:i/>
                <w:iCs/>
                <w:color w:val="000000"/>
                <w:lang w:val="fr-FR"/>
              </w:rPr>
            </w:pPr>
            <w:r w:rsidRPr="00135BB1">
              <w:rPr>
                <w:rFonts w:cs="Times New Roman"/>
                <w:i/>
                <w:color w:val="000000"/>
                <w:lang w:val="fr-FR"/>
              </w:rPr>
              <w:t>Veuillez d</w:t>
            </w:r>
            <w:r w:rsidRPr="00135BB1">
              <w:rPr>
                <w:rFonts w:cs="Times New Roman"/>
                <w:i/>
                <w:iCs/>
                <w:color w:val="000000"/>
                <w:lang w:val="fr-FR"/>
              </w:rPr>
              <w:t>écrivez les principales activités à réaliser au cours de la période à venir, y compris tout changement au plan de travail, le cas échéant, et les résultats attendus.</w:t>
            </w:r>
          </w:p>
          <w:p w14:paraId="5D00BB4E" w14:textId="4B17A95D" w:rsidR="000E25A5" w:rsidRPr="00A04C83" w:rsidRDefault="000E25A5" w:rsidP="00A04C83">
            <w:pPr>
              <w:spacing w:after="120" w:line="240" w:lineRule="auto"/>
              <w:rPr>
                <w:b/>
                <w:bCs/>
                <w:i/>
                <w:iCs/>
                <w:lang w:val="fr-FR"/>
              </w:rPr>
            </w:pPr>
          </w:p>
        </w:tc>
      </w:tr>
    </w:tbl>
    <w:p w14:paraId="2BD68820" w14:textId="77777777" w:rsidR="00256E5A" w:rsidRPr="00135BB1" w:rsidRDefault="00256E5A" w:rsidP="00256E5A">
      <w:pPr>
        <w:rPr>
          <w:sz w:val="24"/>
          <w:szCs w:val="24"/>
          <w:lang w:val="fr-FR"/>
        </w:rPr>
      </w:pPr>
    </w:p>
    <w:tbl>
      <w:tblPr>
        <w:tblW w:w="10193"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3"/>
      </w:tblGrid>
      <w:tr w:rsidR="00256E5A" w:rsidRPr="00135BB1" w14:paraId="52604B00" w14:textId="77777777" w:rsidTr="00504738">
        <w:tc>
          <w:tcPr>
            <w:tcW w:w="10193" w:type="dxa"/>
            <w:shd w:val="clear" w:color="auto" w:fill="BDD6EE"/>
          </w:tcPr>
          <w:p w14:paraId="6030FCD4" w14:textId="77777777" w:rsidR="00256E5A" w:rsidRPr="00135BB1" w:rsidRDefault="00555BBD" w:rsidP="0015616F">
            <w:pPr>
              <w:numPr>
                <w:ilvl w:val="0"/>
                <w:numId w:val="2"/>
              </w:numPr>
              <w:suppressAutoHyphens/>
              <w:spacing w:after="120" w:line="240" w:lineRule="auto"/>
              <w:rPr>
                <w:b/>
                <w:bCs/>
                <w:sz w:val="24"/>
                <w:szCs w:val="24"/>
                <w:lang w:val="fr-FR"/>
              </w:rPr>
            </w:pPr>
            <w:r w:rsidRPr="00135BB1">
              <w:rPr>
                <w:b/>
                <w:bCs/>
                <w:sz w:val="24"/>
                <w:szCs w:val="24"/>
                <w:lang w:val="fr-FR"/>
              </w:rPr>
              <w:t>Photos</w:t>
            </w:r>
          </w:p>
        </w:tc>
      </w:tr>
      <w:tr w:rsidR="00256E5A" w:rsidRPr="00B12AE6" w14:paraId="639629F8" w14:textId="77777777" w:rsidTr="00504738">
        <w:tc>
          <w:tcPr>
            <w:tcW w:w="10193" w:type="dxa"/>
            <w:shd w:val="clear" w:color="auto" w:fill="auto"/>
          </w:tcPr>
          <w:p w14:paraId="532A0DC0" w14:textId="77777777" w:rsidR="00256E5A" w:rsidRPr="00135BB1" w:rsidRDefault="00555BBD" w:rsidP="00504738">
            <w:pPr>
              <w:pStyle w:val="Paragraphedeliste"/>
              <w:spacing w:after="0" w:line="240" w:lineRule="auto"/>
              <w:ind w:left="0"/>
              <w:rPr>
                <w:rFonts w:cs="Times New Roman"/>
                <w:i/>
                <w:color w:val="000000"/>
                <w:lang w:val="fr-FR"/>
              </w:rPr>
            </w:pPr>
            <w:r w:rsidRPr="00135BB1">
              <w:rPr>
                <w:rFonts w:cs="Times New Roman"/>
                <w:i/>
                <w:color w:val="000000"/>
                <w:lang w:val="fr-FR"/>
              </w:rPr>
              <w:t>Veuillez joindre au moins deux photos liées aux activités mises en œuvre en relation avec chaque résultat.</w:t>
            </w:r>
          </w:p>
          <w:p w14:paraId="4F14949D" w14:textId="77777777" w:rsidR="00555BBD" w:rsidRPr="0030738F" w:rsidRDefault="00555BBD" w:rsidP="0030738F">
            <w:pPr>
              <w:spacing w:after="120" w:line="240" w:lineRule="auto"/>
              <w:rPr>
                <w:rFonts w:cs="Times New Roman"/>
                <w:i/>
                <w:color w:val="000000"/>
                <w:lang w:val="fr-FR"/>
              </w:rPr>
            </w:pPr>
          </w:p>
        </w:tc>
      </w:tr>
    </w:tbl>
    <w:p w14:paraId="12D4EE41" w14:textId="77777777" w:rsidR="00256E5A" w:rsidRPr="00135BB1" w:rsidRDefault="00256E5A" w:rsidP="00256E5A">
      <w:pPr>
        <w:rPr>
          <w:lang w:val="fr-FR"/>
        </w:rPr>
      </w:pPr>
    </w:p>
    <w:tbl>
      <w:tblPr>
        <w:tblW w:w="10193"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3"/>
      </w:tblGrid>
      <w:tr w:rsidR="00432F72" w:rsidRPr="00135BB1" w14:paraId="59D041C3" w14:textId="77777777" w:rsidTr="00504738">
        <w:tc>
          <w:tcPr>
            <w:tcW w:w="10193" w:type="dxa"/>
            <w:shd w:val="clear" w:color="auto" w:fill="BDD6EE"/>
          </w:tcPr>
          <w:p w14:paraId="0DC50151" w14:textId="77777777" w:rsidR="00432F72" w:rsidRPr="00135BB1" w:rsidRDefault="00555BBD" w:rsidP="0015616F">
            <w:pPr>
              <w:numPr>
                <w:ilvl w:val="0"/>
                <w:numId w:val="2"/>
              </w:numPr>
              <w:suppressAutoHyphens/>
              <w:spacing w:after="120" w:line="240" w:lineRule="auto"/>
              <w:rPr>
                <w:b/>
                <w:bCs/>
                <w:sz w:val="24"/>
                <w:szCs w:val="24"/>
                <w:lang w:val="fr-FR"/>
              </w:rPr>
            </w:pPr>
            <w:r w:rsidRPr="00135BB1">
              <w:rPr>
                <w:b/>
                <w:bCs/>
                <w:sz w:val="24"/>
                <w:szCs w:val="24"/>
                <w:lang w:val="fr-FR"/>
              </w:rPr>
              <w:t>Matériaux</w:t>
            </w:r>
          </w:p>
        </w:tc>
      </w:tr>
      <w:tr w:rsidR="00432F72" w:rsidRPr="00B12AE6" w14:paraId="2C28FF55" w14:textId="77777777" w:rsidTr="00504738">
        <w:tc>
          <w:tcPr>
            <w:tcW w:w="10193" w:type="dxa"/>
            <w:shd w:val="clear" w:color="auto" w:fill="auto"/>
          </w:tcPr>
          <w:p w14:paraId="2577BEAB" w14:textId="77777777" w:rsidR="00432F72" w:rsidRPr="00135BB1" w:rsidRDefault="00555BBD" w:rsidP="00504738">
            <w:pPr>
              <w:pStyle w:val="Paragraphedeliste"/>
              <w:spacing w:after="0" w:line="240" w:lineRule="auto"/>
              <w:ind w:left="0"/>
              <w:rPr>
                <w:rFonts w:cs="Times New Roman"/>
                <w:i/>
                <w:color w:val="000000"/>
                <w:lang w:val="fr-FR"/>
              </w:rPr>
            </w:pPr>
            <w:r w:rsidRPr="00135BB1">
              <w:rPr>
                <w:rFonts w:cs="Times New Roman"/>
                <w:i/>
                <w:color w:val="000000"/>
                <w:lang w:val="fr-FR"/>
              </w:rPr>
              <w:t>Veuillez joindre tous les documents / rapports produits dans le cadre du projet.</w:t>
            </w:r>
          </w:p>
          <w:p w14:paraId="2924DF6D" w14:textId="37488034" w:rsidR="00555BBD" w:rsidRDefault="00555BBD" w:rsidP="00504738">
            <w:pPr>
              <w:pStyle w:val="Paragraphedeliste"/>
              <w:spacing w:after="0" w:line="240" w:lineRule="auto"/>
              <w:ind w:left="0"/>
              <w:rPr>
                <w:rFonts w:cs="Times New Roman"/>
                <w:i/>
                <w:color w:val="000000"/>
                <w:lang w:val="fr-FR"/>
              </w:rPr>
            </w:pPr>
          </w:p>
          <w:p w14:paraId="069C1046" w14:textId="77777777" w:rsidR="00555BBD" w:rsidRPr="00135BB1" w:rsidRDefault="00555BBD" w:rsidP="009468CC">
            <w:pPr>
              <w:pStyle w:val="Paragraphedeliste"/>
              <w:spacing w:after="0" w:line="240" w:lineRule="auto"/>
              <w:ind w:left="0"/>
              <w:jc w:val="both"/>
              <w:rPr>
                <w:rFonts w:cs="Times New Roman"/>
                <w:i/>
                <w:color w:val="000000"/>
                <w:lang w:val="fr-FR"/>
              </w:rPr>
            </w:pPr>
          </w:p>
        </w:tc>
      </w:tr>
    </w:tbl>
    <w:p w14:paraId="3BD838AB" w14:textId="77777777" w:rsidR="003A0AB4" w:rsidRPr="00135BB1" w:rsidRDefault="003A0AB4" w:rsidP="008A3904">
      <w:pPr>
        <w:rPr>
          <w:lang w:val="fr-FR"/>
        </w:rPr>
      </w:pPr>
    </w:p>
    <w:tbl>
      <w:tblPr>
        <w:tblW w:w="10193"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3"/>
      </w:tblGrid>
      <w:tr w:rsidR="00432F72" w:rsidRPr="00135BB1" w14:paraId="15A4EBE0" w14:textId="77777777" w:rsidTr="00504738">
        <w:tc>
          <w:tcPr>
            <w:tcW w:w="10193" w:type="dxa"/>
            <w:shd w:val="clear" w:color="auto" w:fill="BDD6EE"/>
          </w:tcPr>
          <w:p w14:paraId="7102DB53" w14:textId="77777777" w:rsidR="00432F72" w:rsidRPr="00135BB1" w:rsidRDefault="00555BBD" w:rsidP="0015616F">
            <w:pPr>
              <w:numPr>
                <w:ilvl w:val="0"/>
                <w:numId w:val="2"/>
              </w:numPr>
              <w:suppressAutoHyphens/>
              <w:spacing w:after="120" w:line="240" w:lineRule="auto"/>
              <w:rPr>
                <w:b/>
                <w:bCs/>
                <w:sz w:val="24"/>
                <w:szCs w:val="24"/>
                <w:lang w:val="fr-FR"/>
              </w:rPr>
            </w:pPr>
            <w:r w:rsidRPr="00135BB1">
              <w:rPr>
                <w:b/>
                <w:bCs/>
                <w:sz w:val="24"/>
                <w:szCs w:val="24"/>
                <w:lang w:val="fr-FR"/>
              </w:rPr>
              <w:t>Rapport financier</w:t>
            </w:r>
          </w:p>
        </w:tc>
      </w:tr>
      <w:tr w:rsidR="00432F72" w:rsidRPr="00B12AE6" w14:paraId="7876B6E7" w14:textId="77777777" w:rsidTr="00504738">
        <w:tc>
          <w:tcPr>
            <w:tcW w:w="10193" w:type="dxa"/>
            <w:shd w:val="clear" w:color="auto" w:fill="auto"/>
          </w:tcPr>
          <w:p w14:paraId="72F9B96D" w14:textId="77777777" w:rsidR="00432F72" w:rsidRPr="00135BB1" w:rsidRDefault="00555BBD" w:rsidP="00504738">
            <w:pPr>
              <w:pStyle w:val="Paragraphedeliste"/>
              <w:spacing w:after="0" w:line="240" w:lineRule="auto"/>
              <w:ind w:left="0"/>
              <w:rPr>
                <w:rFonts w:cs="Times New Roman"/>
                <w:i/>
                <w:lang w:val="fr-FR"/>
              </w:rPr>
            </w:pPr>
            <w:r w:rsidRPr="00135BB1">
              <w:rPr>
                <w:rFonts w:cs="Times New Roman"/>
                <w:i/>
                <w:lang w:val="fr-FR"/>
              </w:rPr>
              <w:t>Veuillez joindre le rapport financier (utilisez le format de rapport en forme de visage fourni par le PNUD).</w:t>
            </w:r>
          </w:p>
          <w:p w14:paraId="714B8E9E" w14:textId="77777777" w:rsidR="0067244C" w:rsidRPr="00135BB1" w:rsidRDefault="0067244C" w:rsidP="00504738">
            <w:pPr>
              <w:pStyle w:val="Paragraphedeliste"/>
              <w:spacing w:after="0" w:line="240" w:lineRule="auto"/>
              <w:ind w:left="0"/>
              <w:rPr>
                <w:rFonts w:cs="Times New Roman"/>
                <w:i/>
                <w:lang w:val="fr-FR"/>
              </w:rPr>
            </w:pPr>
          </w:p>
          <w:p w14:paraId="18D1C7AD" w14:textId="6BC4FB60" w:rsidR="0067244C" w:rsidRPr="00135BB1" w:rsidRDefault="0067244C" w:rsidP="00504738">
            <w:pPr>
              <w:pStyle w:val="Paragraphedeliste"/>
              <w:spacing w:after="0" w:line="240" w:lineRule="auto"/>
              <w:ind w:left="0"/>
              <w:rPr>
                <w:rFonts w:cs="Times New Roman"/>
                <w:i/>
                <w:lang w:val="fr-FR"/>
              </w:rPr>
            </w:pPr>
          </w:p>
          <w:p w14:paraId="42E5ED0C" w14:textId="77777777" w:rsidR="0067244C" w:rsidRPr="00135BB1" w:rsidRDefault="0067244C" w:rsidP="00504738">
            <w:pPr>
              <w:pStyle w:val="Paragraphedeliste"/>
              <w:spacing w:after="0" w:line="240" w:lineRule="auto"/>
              <w:ind w:left="0"/>
              <w:rPr>
                <w:rFonts w:cs="Times New Roman"/>
                <w:i/>
                <w:lang w:val="fr-FR"/>
              </w:rPr>
            </w:pPr>
          </w:p>
          <w:p w14:paraId="09C3BDDA" w14:textId="77777777" w:rsidR="0067244C" w:rsidRPr="00135BB1" w:rsidRDefault="0067244C" w:rsidP="00504738">
            <w:pPr>
              <w:pStyle w:val="Paragraphedeliste"/>
              <w:spacing w:after="0" w:line="240" w:lineRule="auto"/>
              <w:ind w:left="0"/>
              <w:rPr>
                <w:rFonts w:cs="Times New Roman"/>
                <w:i/>
                <w:lang w:val="fr-FR"/>
              </w:rPr>
            </w:pPr>
          </w:p>
          <w:p w14:paraId="35571B87" w14:textId="77777777" w:rsidR="0067244C" w:rsidRPr="00135BB1" w:rsidRDefault="0067244C" w:rsidP="00504738">
            <w:pPr>
              <w:pStyle w:val="Paragraphedeliste"/>
              <w:spacing w:after="0" w:line="240" w:lineRule="auto"/>
              <w:ind w:left="0"/>
              <w:rPr>
                <w:rFonts w:cs="Times New Roman"/>
                <w:i/>
                <w:lang w:val="fr-FR"/>
              </w:rPr>
            </w:pPr>
          </w:p>
          <w:p w14:paraId="2BA1C7B2" w14:textId="77777777" w:rsidR="00555BBD" w:rsidRPr="00135BB1" w:rsidRDefault="00555BBD" w:rsidP="00504738">
            <w:pPr>
              <w:pStyle w:val="Paragraphedeliste"/>
              <w:spacing w:after="0" w:line="240" w:lineRule="auto"/>
              <w:ind w:left="0"/>
              <w:rPr>
                <w:rFonts w:cs="Times New Roman"/>
                <w:i/>
                <w:color w:val="000000"/>
                <w:sz w:val="24"/>
                <w:szCs w:val="24"/>
                <w:lang w:val="fr-FR"/>
              </w:rPr>
            </w:pPr>
          </w:p>
        </w:tc>
      </w:tr>
    </w:tbl>
    <w:p w14:paraId="7D53A171" w14:textId="77777777" w:rsidR="008E179D" w:rsidRPr="00135BB1" w:rsidRDefault="008E179D" w:rsidP="008A3904">
      <w:pPr>
        <w:rPr>
          <w:lang w:val="fr-FR"/>
        </w:rPr>
        <w:sectPr w:rsidR="008E179D" w:rsidRPr="00135BB1" w:rsidSect="00D1721E">
          <w:pgSz w:w="12240" w:h="15840"/>
          <w:pgMar w:top="1440" w:right="1440" w:bottom="1440" w:left="1440" w:header="706" w:footer="706" w:gutter="0"/>
          <w:cols w:space="708"/>
          <w:docGrid w:linePitch="360"/>
        </w:sectPr>
      </w:pPr>
    </w:p>
    <w:p w14:paraId="0C65710D" w14:textId="77777777" w:rsidR="00EC1704" w:rsidRPr="00135BB1" w:rsidRDefault="00EC1704" w:rsidP="00EC1704">
      <w:pPr>
        <w:autoSpaceDE w:val="0"/>
        <w:autoSpaceDN w:val="0"/>
        <w:adjustRightInd w:val="0"/>
        <w:spacing w:after="0" w:line="240" w:lineRule="auto"/>
        <w:rPr>
          <w:rFonts w:ascii="Times New Roman" w:hAnsi="Times New Roman" w:cs="Times New Roman"/>
          <w:color w:val="000000"/>
          <w:sz w:val="24"/>
          <w:szCs w:val="24"/>
          <w:lang w:val="fr-FR" w:eastAsia="fr-FR"/>
        </w:rPr>
      </w:pPr>
    </w:p>
    <w:tbl>
      <w:tblPr>
        <w:tblpPr w:leftFromText="180" w:rightFromText="180" w:vertAnchor="text" w:horzAnchor="margin" w:tblpXSpec="center" w:tblpY="379"/>
        <w:tblW w:w="55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3"/>
        <w:gridCol w:w="4469"/>
        <w:gridCol w:w="2453"/>
        <w:gridCol w:w="1585"/>
        <w:gridCol w:w="1439"/>
        <w:gridCol w:w="1308"/>
      </w:tblGrid>
      <w:tr w:rsidR="002A1E9E" w:rsidRPr="00B12AE6" w14:paraId="57A897BC" w14:textId="77777777" w:rsidTr="002A1E9E">
        <w:trPr>
          <w:trHeight w:val="350"/>
        </w:trPr>
        <w:tc>
          <w:tcPr>
            <w:tcW w:w="5000" w:type="pct"/>
            <w:gridSpan w:val="6"/>
            <w:tcBorders>
              <w:top w:val="single" w:sz="4" w:space="0" w:color="auto"/>
              <w:left w:val="single" w:sz="4" w:space="0" w:color="auto"/>
              <w:bottom w:val="single" w:sz="4" w:space="0" w:color="auto"/>
              <w:right w:val="single" w:sz="4" w:space="0" w:color="auto"/>
            </w:tcBorders>
            <w:shd w:val="clear" w:color="auto" w:fill="BDD6EE"/>
          </w:tcPr>
          <w:p w14:paraId="2AAEC316" w14:textId="77777777" w:rsidR="002A1E9E" w:rsidRPr="00135BB1" w:rsidRDefault="002A1E9E" w:rsidP="0015616F">
            <w:pPr>
              <w:numPr>
                <w:ilvl w:val="0"/>
                <w:numId w:val="1"/>
              </w:numPr>
              <w:spacing w:after="120" w:line="240" w:lineRule="auto"/>
              <w:rPr>
                <w:b/>
                <w:bCs/>
                <w:sz w:val="28"/>
                <w:szCs w:val="28"/>
                <w:lang w:val="fr-FR"/>
              </w:rPr>
            </w:pPr>
            <w:r w:rsidRPr="00135BB1">
              <w:rPr>
                <w:b/>
                <w:bCs/>
                <w:sz w:val="28"/>
                <w:szCs w:val="28"/>
                <w:lang w:val="fr-FR"/>
              </w:rPr>
              <w:t>Plan de travail – trimestriel</w:t>
            </w:r>
          </w:p>
          <w:p w14:paraId="0D7EE1C9" w14:textId="77777777" w:rsidR="002A1E9E" w:rsidRPr="00135BB1" w:rsidRDefault="002A1E9E" w:rsidP="0067244C">
            <w:pPr>
              <w:spacing w:after="120" w:line="240" w:lineRule="auto"/>
              <w:rPr>
                <w:i/>
                <w:iCs/>
                <w:sz w:val="28"/>
                <w:szCs w:val="28"/>
                <w:lang w:val="fr-FR"/>
              </w:rPr>
            </w:pPr>
            <w:r w:rsidRPr="00135BB1">
              <w:rPr>
                <w:i/>
                <w:iCs/>
                <w:sz w:val="24"/>
                <w:szCs w:val="24"/>
                <w:lang w:val="fr-FR"/>
              </w:rPr>
              <w:t>Veuillez décrire toutes les activités prévues pour le prochain trimestre et l’impact prévues, afin que les actions puissent être coordonnées avec d'autres partenaires en conséquence.</w:t>
            </w:r>
          </w:p>
        </w:tc>
      </w:tr>
      <w:tr w:rsidR="002A1E9E" w:rsidRPr="00135BB1" w14:paraId="08207A91" w14:textId="77777777" w:rsidTr="002A1E9E">
        <w:trPr>
          <w:trHeight w:val="350"/>
        </w:trPr>
        <w:tc>
          <w:tcPr>
            <w:tcW w:w="5000" w:type="pct"/>
            <w:gridSpan w:val="6"/>
            <w:tcBorders>
              <w:top w:val="single" w:sz="4" w:space="0" w:color="auto"/>
              <w:left w:val="single" w:sz="4" w:space="0" w:color="auto"/>
              <w:bottom w:val="single" w:sz="4" w:space="0" w:color="auto"/>
              <w:right w:val="single" w:sz="4" w:space="0" w:color="auto"/>
            </w:tcBorders>
            <w:shd w:val="clear" w:color="auto" w:fill="BDD6EE"/>
          </w:tcPr>
          <w:p w14:paraId="79D1FE94" w14:textId="77777777" w:rsidR="002A1E9E" w:rsidRPr="00135BB1" w:rsidRDefault="002A1E9E" w:rsidP="00775D22">
            <w:pPr>
              <w:spacing w:after="120" w:line="240" w:lineRule="auto"/>
              <w:rPr>
                <w:b/>
                <w:bCs/>
                <w:sz w:val="28"/>
                <w:szCs w:val="28"/>
                <w:lang w:val="fr-FR"/>
              </w:rPr>
            </w:pPr>
            <w:r w:rsidRPr="00135BB1">
              <w:rPr>
                <w:b/>
                <w:bCs/>
                <w:sz w:val="28"/>
                <w:szCs w:val="28"/>
                <w:lang w:val="fr-FR"/>
              </w:rPr>
              <w:t>Objectif global – l’impact :</w:t>
            </w:r>
          </w:p>
        </w:tc>
      </w:tr>
      <w:tr w:rsidR="002A1E9E" w:rsidRPr="00135BB1" w14:paraId="6CEC289A" w14:textId="77777777" w:rsidTr="00BD503B">
        <w:trPr>
          <w:trHeight w:val="215"/>
        </w:trPr>
        <w:tc>
          <w:tcPr>
            <w:tcW w:w="1137" w:type="pct"/>
            <w:vMerge w:val="restart"/>
            <w:tcBorders>
              <w:top w:val="single" w:sz="4" w:space="0" w:color="auto"/>
              <w:left w:val="single" w:sz="4" w:space="0" w:color="auto"/>
              <w:right w:val="single" w:sz="4" w:space="0" w:color="auto"/>
            </w:tcBorders>
            <w:shd w:val="clear" w:color="auto" w:fill="BDD6EE"/>
          </w:tcPr>
          <w:p w14:paraId="610AB775" w14:textId="77777777" w:rsidR="002A1E9E" w:rsidRPr="00135BB1" w:rsidRDefault="002A1E9E" w:rsidP="00775D22">
            <w:pPr>
              <w:spacing w:after="0" w:line="240" w:lineRule="auto"/>
              <w:jc w:val="center"/>
              <w:rPr>
                <w:b/>
                <w:bCs/>
                <w:sz w:val="28"/>
                <w:szCs w:val="28"/>
                <w:lang w:val="fr-FR"/>
              </w:rPr>
            </w:pPr>
            <w:r w:rsidRPr="00135BB1">
              <w:rPr>
                <w:b/>
                <w:bCs/>
                <w:sz w:val="28"/>
                <w:szCs w:val="28"/>
                <w:lang w:val="fr-FR"/>
              </w:rPr>
              <w:t>Résultats attendus</w:t>
            </w:r>
            <w:r w:rsidRPr="00135BB1">
              <w:rPr>
                <w:rStyle w:val="Appelnotedebasdep"/>
                <w:b/>
                <w:bCs/>
                <w:sz w:val="28"/>
                <w:szCs w:val="28"/>
                <w:vertAlign w:val="baseline"/>
                <w:lang w:val="fr-FR"/>
              </w:rPr>
              <w:t xml:space="preserve"> </w:t>
            </w:r>
            <w:r w:rsidRPr="00135BB1">
              <w:rPr>
                <w:rStyle w:val="Appelnotedebasdep"/>
                <w:b/>
                <w:bCs/>
                <w:sz w:val="28"/>
                <w:szCs w:val="28"/>
                <w:lang w:val="fr-FR"/>
              </w:rPr>
              <w:footnoteReference w:id="20"/>
            </w:r>
          </w:p>
        </w:tc>
        <w:tc>
          <w:tcPr>
            <w:tcW w:w="1534" w:type="pct"/>
            <w:vMerge w:val="restart"/>
            <w:tcBorders>
              <w:top w:val="single" w:sz="4" w:space="0" w:color="auto"/>
              <w:left w:val="single" w:sz="4" w:space="0" w:color="auto"/>
              <w:right w:val="single" w:sz="4" w:space="0" w:color="auto"/>
            </w:tcBorders>
            <w:shd w:val="clear" w:color="auto" w:fill="BDD6EE"/>
          </w:tcPr>
          <w:p w14:paraId="732CF8D7" w14:textId="77777777" w:rsidR="002A1E9E" w:rsidRPr="00135BB1" w:rsidRDefault="002A1E9E" w:rsidP="00775D22">
            <w:pPr>
              <w:jc w:val="center"/>
              <w:rPr>
                <w:sz w:val="28"/>
                <w:szCs w:val="28"/>
                <w:lang w:val="fr-FR"/>
              </w:rPr>
            </w:pPr>
            <w:r w:rsidRPr="00135BB1">
              <w:rPr>
                <w:b/>
                <w:bCs/>
                <w:sz w:val="28"/>
                <w:szCs w:val="28"/>
                <w:lang w:val="fr-FR"/>
              </w:rPr>
              <w:t>Activités</w:t>
            </w:r>
            <w:r w:rsidRPr="00135BB1">
              <w:rPr>
                <w:rStyle w:val="Appelnotedebasdep"/>
                <w:b/>
                <w:bCs/>
                <w:sz w:val="28"/>
                <w:szCs w:val="28"/>
                <w:lang w:val="fr-FR"/>
              </w:rPr>
              <w:footnoteReference w:id="21"/>
            </w:r>
          </w:p>
        </w:tc>
        <w:tc>
          <w:tcPr>
            <w:tcW w:w="842" w:type="pct"/>
            <w:vMerge w:val="restart"/>
            <w:tcBorders>
              <w:top w:val="single" w:sz="4" w:space="0" w:color="auto"/>
              <w:left w:val="single" w:sz="4" w:space="0" w:color="auto"/>
              <w:bottom w:val="single" w:sz="4" w:space="0" w:color="auto"/>
              <w:right w:val="single" w:sz="4" w:space="0" w:color="auto"/>
            </w:tcBorders>
            <w:shd w:val="clear" w:color="auto" w:fill="BDD6EE"/>
            <w:hideMark/>
          </w:tcPr>
          <w:p w14:paraId="1F533B2E" w14:textId="2D9C4C65" w:rsidR="002A1E9E" w:rsidRPr="00135BB1" w:rsidRDefault="002A1E9E" w:rsidP="00775D22">
            <w:pPr>
              <w:spacing w:after="0" w:line="240" w:lineRule="auto"/>
              <w:jc w:val="center"/>
              <w:rPr>
                <w:b/>
                <w:bCs/>
                <w:sz w:val="28"/>
                <w:szCs w:val="28"/>
                <w:lang w:val="fr-FR"/>
              </w:rPr>
            </w:pPr>
            <w:r w:rsidRPr="00135BB1">
              <w:rPr>
                <w:b/>
                <w:bCs/>
                <w:sz w:val="28"/>
                <w:szCs w:val="28"/>
                <w:lang w:val="fr-FR"/>
              </w:rPr>
              <w:t>Budget (</w:t>
            </w:r>
            <w:r w:rsidR="00C9265D">
              <w:rPr>
                <w:b/>
                <w:bCs/>
                <w:sz w:val="28"/>
                <w:szCs w:val="28"/>
                <w:lang w:val="fr-FR"/>
              </w:rPr>
              <w:t>USD</w:t>
            </w:r>
            <w:r w:rsidRPr="00135BB1">
              <w:rPr>
                <w:b/>
                <w:bCs/>
                <w:sz w:val="28"/>
                <w:szCs w:val="28"/>
                <w:lang w:val="fr-FR"/>
              </w:rPr>
              <w:t>)</w:t>
            </w:r>
            <w:r w:rsidRPr="00135BB1">
              <w:rPr>
                <w:rStyle w:val="Appelnotedebasdep"/>
                <w:b/>
                <w:bCs/>
                <w:sz w:val="28"/>
                <w:szCs w:val="28"/>
                <w:lang w:val="fr-FR"/>
              </w:rPr>
              <w:footnoteReference w:id="22"/>
            </w:r>
          </w:p>
        </w:tc>
        <w:tc>
          <w:tcPr>
            <w:tcW w:w="1487" w:type="pct"/>
            <w:gridSpan w:val="3"/>
            <w:tcBorders>
              <w:top w:val="single" w:sz="4" w:space="0" w:color="auto"/>
              <w:left w:val="single" w:sz="4" w:space="0" w:color="auto"/>
              <w:bottom w:val="single" w:sz="4" w:space="0" w:color="auto"/>
              <w:right w:val="single" w:sz="4" w:space="0" w:color="auto"/>
            </w:tcBorders>
            <w:shd w:val="clear" w:color="auto" w:fill="BDD6EE"/>
          </w:tcPr>
          <w:p w14:paraId="57121CEA" w14:textId="77777777" w:rsidR="002A1E9E" w:rsidRPr="00135BB1" w:rsidRDefault="002A1E9E" w:rsidP="00775D22">
            <w:pPr>
              <w:spacing w:after="0" w:line="240" w:lineRule="auto"/>
              <w:jc w:val="center"/>
              <w:rPr>
                <w:b/>
                <w:bCs/>
                <w:sz w:val="28"/>
                <w:szCs w:val="28"/>
                <w:lang w:val="fr-FR"/>
              </w:rPr>
            </w:pPr>
            <w:r w:rsidRPr="00135BB1">
              <w:rPr>
                <w:b/>
                <w:bCs/>
                <w:sz w:val="28"/>
                <w:szCs w:val="28"/>
                <w:lang w:val="fr-FR"/>
              </w:rPr>
              <w:t>Chronogramme</w:t>
            </w:r>
            <w:r w:rsidRPr="00135BB1">
              <w:rPr>
                <w:rStyle w:val="Appelnotedebasdep"/>
                <w:b/>
                <w:bCs/>
                <w:sz w:val="28"/>
                <w:szCs w:val="28"/>
                <w:lang w:val="fr-FR"/>
              </w:rPr>
              <w:footnoteReference w:id="23"/>
            </w:r>
            <w:r w:rsidRPr="00135BB1">
              <w:rPr>
                <w:b/>
                <w:bCs/>
                <w:sz w:val="28"/>
                <w:szCs w:val="28"/>
                <w:lang w:val="fr-FR"/>
              </w:rPr>
              <w:t xml:space="preserve"> </w:t>
            </w:r>
          </w:p>
        </w:tc>
      </w:tr>
      <w:tr w:rsidR="00BD503B" w:rsidRPr="00135BB1" w14:paraId="7E362598" w14:textId="77777777" w:rsidTr="00337DBD">
        <w:trPr>
          <w:trHeight w:val="1226"/>
        </w:trPr>
        <w:tc>
          <w:tcPr>
            <w:tcW w:w="1137" w:type="pct"/>
            <w:vMerge/>
            <w:tcBorders>
              <w:left w:val="single" w:sz="4" w:space="0" w:color="auto"/>
              <w:bottom w:val="single" w:sz="4" w:space="0" w:color="auto"/>
              <w:right w:val="single" w:sz="4" w:space="0" w:color="auto"/>
            </w:tcBorders>
            <w:shd w:val="clear" w:color="auto" w:fill="BDD6EE"/>
          </w:tcPr>
          <w:p w14:paraId="3ADE95DB" w14:textId="77777777" w:rsidR="006D773F" w:rsidRPr="00135BB1" w:rsidRDefault="006D773F" w:rsidP="00775D22">
            <w:pPr>
              <w:spacing w:after="0" w:line="240" w:lineRule="auto"/>
              <w:rPr>
                <w:b/>
                <w:bCs/>
                <w:sz w:val="28"/>
                <w:szCs w:val="28"/>
                <w:lang w:val="fr-FR"/>
              </w:rPr>
            </w:pPr>
          </w:p>
        </w:tc>
        <w:tc>
          <w:tcPr>
            <w:tcW w:w="1534" w:type="pct"/>
            <w:vMerge/>
            <w:tcBorders>
              <w:left w:val="single" w:sz="4" w:space="0" w:color="auto"/>
              <w:bottom w:val="single" w:sz="4" w:space="0" w:color="auto"/>
              <w:right w:val="single" w:sz="4" w:space="0" w:color="auto"/>
            </w:tcBorders>
            <w:shd w:val="clear" w:color="auto" w:fill="BDD6EE"/>
          </w:tcPr>
          <w:p w14:paraId="0827BA6B" w14:textId="77777777" w:rsidR="006D773F" w:rsidRPr="00135BB1" w:rsidRDefault="006D773F" w:rsidP="00775D22">
            <w:pPr>
              <w:spacing w:after="0" w:line="240" w:lineRule="auto"/>
              <w:rPr>
                <w:b/>
                <w:bCs/>
                <w:sz w:val="28"/>
                <w:szCs w:val="28"/>
                <w:lang w:val="fr-FR"/>
              </w:rPr>
            </w:pPr>
          </w:p>
        </w:tc>
        <w:tc>
          <w:tcPr>
            <w:tcW w:w="842" w:type="pct"/>
            <w:vMerge/>
            <w:tcBorders>
              <w:top w:val="single" w:sz="4" w:space="0" w:color="auto"/>
              <w:left w:val="single" w:sz="4" w:space="0" w:color="auto"/>
              <w:bottom w:val="single" w:sz="4" w:space="0" w:color="auto"/>
              <w:right w:val="single" w:sz="4" w:space="0" w:color="auto"/>
            </w:tcBorders>
            <w:shd w:val="clear" w:color="auto" w:fill="BDD6EE"/>
            <w:vAlign w:val="center"/>
          </w:tcPr>
          <w:p w14:paraId="772755C3" w14:textId="77777777" w:rsidR="006D773F" w:rsidRPr="00135BB1" w:rsidRDefault="006D773F" w:rsidP="00775D22">
            <w:pPr>
              <w:spacing w:after="0" w:line="240" w:lineRule="auto"/>
              <w:rPr>
                <w:b/>
                <w:bCs/>
                <w:sz w:val="28"/>
                <w:szCs w:val="28"/>
                <w:lang w:val="fr-FR"/>
              </w:rPr>
            </w:pPr>
          </w:p>
        </w:tc>
        <w:tc>
          <w:tcPr>
            <w:tcW w:w="544" w:type="pct"/>
            <w:tcBorders>
              <w:top w:val="single" w:sz="4" w:space="0" w:color="auto"/>
              <w:left w:val="single" w:sz="4" w:space="0" w:color="auto"/>
              <w:right w:val="single" w:sz="4" w:space="0" w:color="auto"/>
            </w:tcBorders>
            <w:shd w:val="clear" w:color="auto" w:fill="BDD6EE"/>
          </w:tcPr>
          <w:p w14:paraId="3B121134" w14:textId="77777777" w:rsidR="006D773F" w:rsidRPr="00135BB1" w:rsidRDefault="006D773F" w:rsidP="00775D22">
            <w:pPr>
              <w:spacing w:after="0" w:line="240" w:lineRule="auto"/>
              <w:rPr>
                <w:b/>
                <w:bCs/>
                <w:sz w:val="16"/>
                <w:szCs w:val="16"/>
                <w:lang w:val="fr-FR"/>
              </w:rPr>
            </w:pPr>
          </w:p>
          <w:p w14:paraId="3F2AB901" w14:textId="786FEAB2" w:rsidR="006D773F" w:rsidRPr="00135BB1" w:rsidRDefault="006D773F" w:rsidP="002A1E9E">
            <w:pPr>
              <w:spacing w:after="0" w:line="240" w:lineRule="auto"/>
              <w:jc w:val="center"/>
              <w:rPr>
                <w:b/>
                <w:bCs/>
                <w:sz w:val="16"/>
                <w:szCs w:val="16"/>
                <w:lang w:val="fr-FR"/>
              </w:rPr>
            </w:pPr>
            <w:r w:rsidRPr="00135BB1">
              <w:rPr>
                <w:b/>
                <w:bCs/>
                <w:sz w:val="16"/>
                <w:szCs w:val="16"/>
                <w:lang w:val="fr-FR"/>
              </w:rPr>
              <w:t>Mois 1</w:t>
            </w:r>
          </w:p>
        </w:tc>
        <w:tc>
          <w:tcPr>
            <w:tcW w:w="494" w:type="pct"/>
            <w:tcBorders>
              <w:top w:val="single" w:sz="4" w:space="0" w:color="auto"/>
              <w:left w:val="single" w:sz="4" w:space="0" w:color="auto"/>
              <w:right w:val="single" w:sz="4" w:space="0" w:color="auto"/>
            </w:tcBorders>
            <w:shd w:val="clear" w:color="auto" w:fill="BDD6EE"/>
          </w:tcPr>
          <w:p w14:paraId="65082F48" w14:textId="77777777" w:rsidR="006D773F" w:rsidRPr="00135BB1" w:rsidRDefault="006D773F" w:rsidP="002A1E9E">
            <w:pPr>
              <w:spacing w:after="0" w:line="240" w:lineRule="auto"/>
              <w:jc w:val="center"/>
              <w:rPr>
                <w:b/>
                <w:bCs/>
                <w:sz w:val="16"/>
                <w:szCs w:val="16"/>
                <w:lang w:val="fr-FR"/>
              </w:rPr>
            </w:pPr>
          </w:p>
          <w:p w14:paraId="060AC7C8" w14:textId="215CF002" w:rsidR="006D773F" w:rsidRPr="00135BB1" w:rsidRDefault="006D773F" w:rsidP="002A1E9E">
            <w:pPr>
              <w:spacing w:after="0" w:line="240" w:lineRule="auto"/>
              <w:jc w:val="center"/>
              <w:rPr>
                <w:b/>
                <w:bCs/>
                <w:sz w:val="16"/>
                <w:szCs w:val="16"/>
                <w:lang w:val="fr-FR"/>
              </w:rPr>
            </w:pPr>
            <w:r w:rsidRPr="00135BB1">
              <w:rPr>
                <w:b/>
                <w:bCs/>
                <w:sz w:val="16"/>
                <w:szCs w:val="16"/>
                <w:lang w:val="fr-FR"/>
              </w:rPr>
              <w:t>Mois 2</w:t>
            </w:r>
          </w:p>
        </w:tc>
        <w:tc>
          <w:tcPr>
            <w:tcW w:w="449" w:type="pct"/>
            <w:tcBorders>
              <w:top w:val="single" w:sz="4" w:space="0" w:color="auto"/>
              <w:left w:val="single" w:sz="4" w:space="0" w:color="auto"/>
              <w:right w:val="single" w:sz="4" w:space="0" w:color="auto"/>
            </w:tcBorders>
            <w:shd w:val="clear" w:color="auto" w:fill="BDD6EE"/>
          </w:tcPr>
          <w:p w14:paraId="07BD5984" w14:textId="77777777" w:rsidR="006D773F" w:rsidRDefault="006D773F" w:rsidP="006D773F">
            <w:pPr>
              <w:spacing w:after="0" w:line="240" w:lineRule="auto"/>
              <w:jc w:val="center"/>
              <w:rPr>
                <w:b/>
                <w:bCs/>
                <w:sz w:val="16"/>
                <w:szCs w:val="16"/>
                <w:lang w:val="fr-FR"/>
              </w:rPr>
            </w:pPr>
          </w:p>
          <w:p w14:paraId="669F0956" w14:textId="4AE6DA1B" w:rsidR="006D773F" w:rsidRPr="00135BB1" w:rsidRDefault="006D773F" w:rsidP="006D773F">
            <w:pPr>
              <w:spacing w:after="0" w:line="240" w:lineRule="auto"/>
              <w:jc w:val="center"/>
              <w:rPr>
                <w:b/>
                <w:bCs/>
                <w:sz w:val="16"/>
                <w:szCs w:val="16"/>
                <w:lang w:val="fr-FR"/>
              </w:rPr>
            </w:pPr>
            <w:r w:rsidRPr="00135BB1">
              <w:rPr>
                <w:b/>
                <w:bCs/>
                <w:sz w:val="16"/>
                <w:szCs w:val="16"/>
                <w:lang w:val="fr-FR"/>
              </w:rPr>
              <w:t xml:space="preserve">Mois </w:t>
            </w:r>
            <w:r>
              <w:rPr>
                <w:b/>
                <w:bCs/>
                <w:sz w:val="16"/>
                <w:szCs w:val="16"/>
                <w:lang w:val="fr-FR"/>
              </w:rPr>
              <w:t>3</w:t>
            </w:r>
          </w:p>
        </w:tc>
      </w:tr>
    </w:tbl>
    <w:p w14:paraId="56E416D1" w14:textId="6CED6280" w:rsidR="001A040C" w:rsidRPr="00390A60" w:rsidRDefault="001A040C" w:rsidP="006B7186">
      <w:pPr>
        <w:spacing w:after="0" w:line="240" w:lineRule="auto"/>
        <w:rPr>
          <w:b/>
          <w:bCs/>
          <w:lang w:val="fr-FR"/>
        </w:rPr>
        <w:sectPr w:rsidR="001A040C" w:rsidRPr="00390A60" w:rsidSect="008E179D">
          <w:pgSz w:w="15840" w:h="12240" w:orient="landscape"/>
          <w:pgMar w:top="1440" w:right="1440" w:bottom="1440" w:left="1440" w:header="706" w:footer="706" w:gutter="0"/>
          <w:cols w:space="708"/>
          <w:docGrid w:linePitch="360"/>
        </w:sectPr>
      </w:pPr>
    </w:p>
    <w:p w14:paraId="470B7176" w14:textId="59F91AB8" w:rsidR="001A040C" w:rsidRPr="00135BB1" w:rsidRDefault="001A040C" w:rsidP="00A44580">
      <w:pPr>
        <w:rPr>
          <w:lang w:val="fr-FR"/>
        </w:rPr>
      </w:pPr>
    </w:p>
    <w:sectPr w:rsidR="001A040C" w:rsidRPr="00135BB1" w:rsidSect="008B3D50">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5B963" w14:textId="77777777" w:rsidR="0092757B" w:rsidRDefault="0092757B" w:rsidP="00D67CB8">
      <w:pPr>
        <w:spacing w:after="0" w:line="240" w:lineRule="auto"/>
      </w:pPr>
      <w:r>
        <w:separator/>
      </w:r>
    </w:p>
  </w:endnote>
  <w:endnote w:type="continuationSeparator" w:id="0">
    <w:p w14:paraId="5508C7FB" w14:textId="77777777" w:rsidR="0092757B" w:rsidRDefault="0092757B" w:rsidP="00D67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tima">
    <w:altName w:val="Calibri"/>
    <w:charset w:val="00"/>
    <w:family w:val="auto"/>
    <w:pitch w:val="variable"/>
    <w:sig w:usb0="8000006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722C" w14:textId="77777777" w:rsidR="00715FFF" w:rsidRDefault="00715FFF">
    <w:pPr>
      <w:pStyle w:val="Pieddepage"/>
      <w:jc w:val="right"/>
    </w:pPr>
    <w:r>
      <w:fldChar w:fldCharType="begin"/>
    </w:r>
    <w:r>
      <w:instrText xml:space="preserve"> PAGE   \* MERGEFORMAT </w:instrText>
    </w:r>
    <w:r>
      <w:fldChar w:fldCharType="separate"/>
    </w:r>
    <w:r w:rsidR="00056D8A">
      <w:rPr>
        <w:noProof/>
      </w:rPr>
      <w:t>1</w:t>
    </w:r>
    <w:r>
      <w:rPr>
        <w:noProof/>
      </w:rPr>
      <w:fldChar w:fldCharType="end"/>
    </w:r>
  </w:p>
  <w:p w14:paraId="5B94BF6D" w14:textId="77777777" w:rsidR="00715FFF" w:rsidRDefault="00715F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9B87F" w14:textId="77777777" w:rsidR="0092757B" w:rsidRDefault="0092757B" w:rsidP="00D67CB8">
      <w:pPr>
        <w:spacing w:after="0" w:line="240" w:lineRule="auto"/>
      </w:pPr>
      <w:r>
        <w:separator/>
      </w:r>
    </w:p>
  </w:footnote>
  <w:footnote w:type="continuationSeparator" w:id="0">
    <w:p w14:paraId="3C92F5BC" w14:textId="77777777" w:rsidR="0092757B" w:rsidRDefault="0092757B" w:rsidP="00D67CB8">
      <w:pPr>
        <w:spacing w:after="0" w:line="240" w:lineRule="auto"/>
      </w:pPr>
      <w:r>
        <w:continuationSeparator/>
      </w:r>
    </w:p>
  </w:footnote>
  <w:footnote w:id="1">
    <w:p w14:paraId="113D7AFC" w14:textId="77777777" w:rsidR="00C1364E" w:rsidRPr="00AE711C" w:rsidRDefault="00C1364E" w:rsidP="00C1364E">
      <w:pPr>
        <w:pStyle w:val="Notedebasdepage"/>
        <w:spacing w:after="0"/>
        <w:rPr>
          <w:rFonts w:ascii="Calibri" w:hAnsi="Calibri" w:cs="Calibri"/>
          <w:sz w:val="18"/>
          <w:szCs w:val="18"/>
          <w:lang w:val="fr-FR"/>
        </w:rPr>
      </w:pPr>
      <w:r w:rsidRPr="00AE711C">
        <w:rPr>
          <w:rStyle w:val="Appelnotedebasdep"/>
          <w:rFonts w:cs="Calibri"/>
          <w:sz w:val="18"/>
          <w:szCs w:val="18"/>
        </w:rPr>
        <w:footnoteRef/>
      </w:r>
      <w:r w:rsidRPr="00AE711C">
        <w:rPr>
          <w:rFonts w:ascii="Calibri" w:hAnsi="Calibri" w:cs="Calibri"/>
          <w:sz w:val="18"/>
          <w:szCs w:val="18"/>
          <w:lang w:val="fr-FR"/>
        </w:rPr>
        <w:t xml:space="preserve"> Ventilation (par sexe, âge, gouvernorat…) selon la proposition de projet</w:t>
      </w:r>
    </w:p>
  </w:footnote>
  <w:footnote w:id="2">
    <w:p w14:paraId="7EA3D0BD" w14:textId="77777777" w:rsidR="00C1364E" w:rsidRPr="00AE711C" w:rsidRDefault="00C1364E" w:rsidP="00C1364E">
      <w:pPr>
        <w:pStyle w:val="Notedebasdepage"/>
        <w:spacing w:after="0"/>
        <w:rPr>
          <w:rFonts w:ascii="Calibri" w:hAnsi="Calibri" w:cs="Calibri"/>
          <w:sz w:val="18"/>
          <w:szCs w:val="18"/>
          <w:lang w:val="fr-FR"/>
        </w:rPr>
      </w:pPr>
      <w:r w:rsidRPr="00AE711C">
        <w:rPr>
          <w:rStyle w:val="Appelnotedebasdep"/>
          <w:rFonts w:cs="Calibri"/>
          <w:sz w:val="18"/>
          <w:szCs w:val="18"/>
        </w:rPr>
        <w:footnoteRef/>
      </w:r>
      <w:r w:rsidRPr="00AE711C">
        <w:rPr>
          <w:rFonts w:ascii="Calibri" w:hAnsi="Calibri" w:cs="Calibri"/>
          <w:sz w:val="18"/>
          <w:szCs w:val="18"/>
          <w:lang w:val="fr-FR"/>
        </w:rPr>
        <w:t xml:space="preserve"> Veuillez indiquer la base de référence établie pour mesurer le progrès </w:t>
      </w:r>
      <w:r w:rsidRPr="00AE711C">
        <w:rPr>
          <w:rFonts w:ascii="Calibri" w:hAnsi="Calibri" w:cs="Calibri"/>
          <w:i/>
          <w:iCs/>
          <w:sz w:val="18"/>
          <w:szCs w:val="18"/>
          <w:lang w:val="fr-FR"/>
        </w:rPr>
        <w:t>qualitatif</w:t>
      </w:r>
      <w:r w:rsidRPr="00AE711C">
        <w:rPr>
          <w:rFonts w:ascii="Calibri" w:hAnsi="Calibri" w:cs="Calibri"/>
          <w:sz w:val="18"/>
          <w:szCs w:val="18"/>
          <w:lang w:val="fr-FR"/>
        </w:rPr>
        <w:t xml:space="preserve"> ou </w:t>
      </w:r>
      <w:r w:rsidRPr="00AE711C">
        <w:rPr>
          <w:rFonts w:ascii="Calibri" w:hAnsi="Calibri" w:cs="Calibri"/>
          <w:i/>
          <w:iCs/>
          <w:sz w:val="18"/>
          <w:szCs w:val="18"/>
          <w:lang w:val="fr-FR"/>
        </w:rPr>
        <w:t>quantitatif</w:t>
      </w:r>
      <w:r w:rsidRPr="00AE711C">
        <w:rPr>
          <w:rFonts w:ascii="Calibri" w:hAnsi="Calibri" w:cs="Calibri"/>
          <w:sz w:val="18"/>
          <w:szCs w:val="18"/>
          <w:lang w:val="fr-FR"/>
        </w:rPr>
        <w:t xml:space="preserve"> - %, oui / non, nombre, fréquence, degré) pour chaque indicateur conformément avec les ciblées établies.</w:t>
      </w:r>
    </w:p>
  </w:footnote>
  <w:footnote w:id="3">
    <w:p w14:paraId="6D8BE688" w14:textId="77777777" w:rsidR="00C1364E" w:rsidRPr="00AE711C" w:rsidRDefault="00C1364E" w:rsidP="00C1364E">
      <w:pPr>
        <w:pStyle w:val="Notedebasdepage"/>
        <w:spacing w:after="0"/>
        <w:rPr>
          <w:rFonts w:ascii="Calibri" w:hAnsi="Calibri" w:cs="Calibri"/>
          <w:sz w:val="18"/>
          <w:szCs w:val="18"/>
          <w:lang w:val="fr-FR"/>
        </w:rPr>
      </w:pPr>
      <w:r w:rsidRPr="00AE711C">
        <w:rPr>
          <w:rStyle w:val="Appelnotedebasdep"/>
          <w:rFonts w:cs="Calibri"/>
          <w:sz w:val="18"/>
          <w:szCs w:val="18"/>
        </w:rPr>
        <w:footnoteRef/>
      </w:r>
      <w:r w:rsidRPr="00AE711C">
        <w:rPr>
          <w:rFonts w:ascii="Calibri" w:hAnsi="Calibri" w:cs="Calibri"/>
          <w:sz w:val="18"/>
          <w:szCs w:val="18"/>
          <w:lang w:val="fr-FR"/>
        </w:rPr>
        <w:t xml:space="preserve"> Veuillez indiquer le cible(s) en nombre (régions, participants, parties prenantes) (ventilé par sexe, âge, si possible)</w:t>
      </w:r>
    </w:p>
  </w:footnote>
  <w:footnote w:id="4">
    <w:p w14:paraId="2B17E39F" w14:textId="77777777" w:rsidR="00C1364E" w:rsidRPr="00AE711C" w:rsidRDefault="00C1364E" w:rsidP="00C1364E">
      <w:pPr>
        <w:pStyle w:val="Notedebasdepage"/>
        <w:spacing w:after="0"/>
        <w:rPr>
          <w:rFonts w:ascii="Calibri" w:hAnsi="Calibri" w:cs="Calibri"/>
          <w:sz w:val="18"/>
          <w:szCs w:val="18"/>
          <w:lang w:val="fr-FR"/>
        </w:rPr>
      </w:pPr>
      <w:r w:rsidRPr="00AE711C">
        <w:rPr>
          <w:rStyle w:val="Appelnotedebasdep"/>
          <w:rFonts w:cs="Calibri"/>
          <w:sz w:val="18"/>
          <w:szCs w:val="18"/>
        </w:rPr>
        <w:footnoteRef/>
      </w:r>
      <w:r w:rsidRPr="00AE711C">
        <w:rPr>
          <w:rFonts w:ascii="Calibri" w:hAnsi="Calibri" w:cs="Calibri"/>
          <w:sz w:val="18"/>
          <w:szCs w:val="18"/>
          <w:lang w:val="fr-FR"/>
        </w:rPr>
        <w:t xml:space="preserve"> Veuillez indiquer le source(s) et des moyen(s) de vérification pour chaque indicateur (Fiche de présence, post / pré évaluation, enquête de perception, entretiens/focus groups, consultations bilatérale, surveillance du contexte, etc…)</w:t>
      </w:r>
    </w:p>
  </w:footnote>
  <w:footnote w:id="5">
    <w:p w14:paraId="4E841A1C" w14:textId="77777777" w:rsidR="00C1364E" w:rsidRPr="00385CEE" w:rsidRDefault="00C1364E" w:rsidP="00C1364E">
      <w:pPr>
        <w:pStyle w:val="Notedebasdepage"/>
        <w:spacing w:after="0"/>
        <w:rPr>
          <w:lang w:val="fr-FR"/>
        </w:rPr>
      </w:pPr>
      <w:r w:rsidRPr="00AE711C">
        <w:rPr>
          <w:rStyle w:val="Appelnotedebasdep"/>
          <w:rFonts w:cs="Calibri"/>
          <w:sz w:val="18"/>
          <w:szCs w:val="18"/>
        </w:rPr>
        <w:footnoteRef/>
      </w:r>
      <w:r w:rsidRPr="00AE711C">
        <w:rPr>
          <w:rFonts w:ascii="Calibri" w:hAnsi="Calibri" w:cs="Calibri"/>
          <w:sz w:val="18"/>
          <w:szCs w:val="18"/>
          <w:lang w:val="fr-FR"/>
        </w:rPr>
        <w:t xml:space="preserve"> Veuillez indiquer</w:t>
      </w:r>
      <w:r w:rsidRPr="00AE711C">
        <w:rPr>
          <w:rFonts w:ascii="Calibri" w:hAnsi="Calibri" w:cs="Calibri"/>
          <w:b/>
          <w:sz w:val="18"/>
          <w:szCs w:val="18"/>
          <w:lang w:val="fr-FR"/>
        </w:rPr>
        <w:t xml:space="preserve"> l</w:t>
      </w:r>
      <w:r w:rsidRPr="00AE711C">
        <w:rPr>
          <w:rFonts w:ascii="Calibri" w:hAnsi="Calibri" w:cs="Calibri"/>
          <w:bCs/>
          <w:sz w:val="18"/>
          <w:szCs w:val="18"/>
          <w:lang w:val="fr-FR"/>
        </w:rPr>
        <w:t>e niveau de réalisation au cours de la période de référence relative à la cible initiale établie pendant cette période</w:t>
      </w:r>
      <w:r w:rsidRPr="00AE711C">
        <w:rPr>
          <w:rFonts w:ascii="Calibri" w:hAnsi="Calibri" w:cs="Calibri"/>
          <w:sz w:val="18"/>
          <w:szCs w:val="18"/>
          <w:lang w:val="fr-FR"/>
        </w:rPr>
        <w:t>.</w:t>
      </w:r>
    </w:p>
  </w:footnote>
  <w:footnote w:id="6">
    <w:p w14:paraId="3CEA8BB9" w14:textId="77777777" w:rsidR="00C1364E" w:rsidRPr="001A2091" w:rsidRDefault="00C1364E" w:rsidP="00C1364E">
      <w:pPr>
        <w:pStyle w:val="Notedebasdepage"/>
        <w:spacing w:after="0"/>
        <w:rPr>
          <w:lang w:val="fr-FR"/>
        </w:rPr>
      </w:pPr>
      <w:r>
        <w:rPr>
          <w:rStyle w:val="Appelnotedebasdep"/>
        </w:rPr>
        <w:footnoteRef/>
      </w:r>
      <w:r w:rsidRPr="001A2091">
        <w:rPr>
          <w:lang w:val="fr-FR"/>
        </w:rPr>
        <w:t xml:space="preserve"> </w:t>
      </w:r>
      <w:r w:rsidRPr="00980828">
        <w:rPr>
          <w:rFonts w:ascii="Calibri" w:hAnsi="Calibri" w:cs="Calibri"/>
          <w:sz w:val="18"/>
          <w:szCs w:val="18"/>
          <w:lang w:val="fr-FR"/>
        </w:rPr>
        <w:t xml:space="preserve">L’ensemble de la population des communes signataires des conventions et des plans de gestion </w:t>
      </w:r>
      <w:r>
        <w:rPr>
          <w:rFonts w:ascii="Calibri" w:hAnsi="Calibri" w:cs="Calibri"/>
          <w:sz w:val="18"/>
          <w:szCs w:val="18"/>
          <w:lang w:val="fr-FR"/>
        </w:rPr>
        <w:t xml:space="preserve">communautaire </w:t>
      </w:r>
      <w:r w:rsidRPr="00980828">
        <w:rPr>
          <w:rFonts w:ascii="Calibri" w:hAnsi="Calibri" w:cs="Calibri"/>
          <w:sz w:val="18"/>
          <w:szCs w:val="18"/>
          <w:lang w:val="fr-FR"/>
        </w:rPr>
        <w:t>des RN</w:t>
      </w:r>
      <w:r>
        <w:rPr>
          <w:rFonts w:ascii="Calibri" w:hAnsi="Calibri" w:cs="Calibri"/>
          <w:sz w:val="18"/>
          <w:szCs w:val="18"/>
          <w:lang w:val="fr-FR"/>
        </w:rPr>
        <w:t xml:space="preserve"> (</w:t>
      </w:r>
      <w:r w:rsidRPr="00980828">
        <w:rPr>
          <w:rFonts w:ascii="Calibri" w:hAnsi="Calibri" w:cs="Calibri"/>
          <w:sz w:val="18"/>
          <w:szCs w:val="18"/>
          <w:lang w:val="fr-FR"/>
        </w:rPr>
        <w:t>86 235 dont 43 041 H, 43 194 F</w:t>
      </w:r>
      <w:r>
        <w:rPr>
          <w:rFonts w:ascii="Calibri" w:hAnsi="Calibri" w:cs="Calibri"/>
          <w:sz w:val="18"/>
          <w:szCs w:val="18"/>
          <w:lang w:val="fr-FR"/>
        </w:rPr>
        <w:t>)</w:t>
      </w:r>
      <w:r w:rsidRPr="00980828">
        <w:rPr>
          <w:rFonts w:ascii="Calibri" w:hAnsi="Calibri" w:cs="Calibri"/>
          <w:sz w:val="18"/>
          <w:szCs w:val="18"/>
          <w:lang w:val="fr-FR"/>
        </w:rPr>
        <w:t xml:space="preserve">, ainsi que </w:t>
      </w:r>
      <w:r>
        <w:rPr>
          <w:rFonts w:ascii="Calibri" w:hAnsi="Calibri" w:cs="Calibri"/>
          <w:sz w:val="18"/>
          <w:szCs w:val="18"/>
          <w:lang w:val="fr-FR"/>
        </w:rPr>
        <w:t>les bénéficiaires des pare-feu réalisés dans les communes non couvertes par les conventions et plans de gestion communautaire, soit 25 378 bénéficiaires dont 12 812 H et 12 466 F. Chiffres basés sur les données du dernier recensement national (</w:t>
      </w:r>
      <w:r w:rsidRPr="001A2091">
        <w:rPr>
          <w:rFonts w:ascii="Calibri" w:hAnsi="Calibri" w:cs="Calibri"/>
          <w:sz w:val="18"/>
          <w:szCs w:val="18"/>
          <w:lang w:val="fr-FR"/>
        </w:rPr>
        <w:t>4ème recensement général de la population et de l’habitat du Mali (RGPH)</w:t>
      </w:r>
      <w:r>
        <w:rPr>
          <w:rFonts w:ascii="Calibri" w:hAnsi="Calibri" w:cs="Calibri"/>
          <w:sz w:val="18"/>
          <w:szCs w:val="18"/>
          <w:lang w:val="fr-FR"/>
        </w:rPr>
        <w:t xml:space="preserve"> 2009</w:t>
      </w:r>
      <w:r w:rsidRPr="001A2091">
        <w:rPr>
          <w:rFonts w:ascii="Calibri" w:hAnsi="Calibri" w:cs="Calibri"/>
          <w:sz w:val="18"/>
          <w:szCs w:val="18"/>
          <w:lang w:val="fr-FR"/>
        </w:rPr>
        <w:t>, INSTAT, mars 2013</w:t>
      </w:r>
      <w:r>
        <w:rPr>
          <w:rFonts w:ascii="Calibri" w:hAnsi="Calibri" w:cs="Calibri"/>
          <w:sz w:val="18"/>
          <w:szCs w:val="18"/>
          <w:lang w:val="fr-FR"/>
        </w:rPr>
        <w:t>).</w:t>
      </w:r>
    </w:p>
  </w:footnote>
  <w:footnote w:id="7">
    <w:p w14:paraId="0CFF1319" w14:textId="77777777" w:rsidR="00C1364E" w:rsidRPr="00D11B41" w:rsidRDefault="00C1364E" w:rsidP="00C1364E">
      <w:pPr>
        <w:pStyle w:val="Notedebasdepage"/>
        <w:spacing w:after="0"/>
        <w:rPr>
          <w:rFonts w:ascii="Calibri" w:hAnsi="Calibri" w:cs="Calibri"/>
          <w:sz w:val="16"/>
          <w:szCs w:val="16"/>
          <w:lang w:val="fr-FR"/>
        </w:rPr>
      </w:pPr>
      <w:r w:rsidRPr="00791623">
        <w:rPr>
          <w:rStyle w:val="Appelnotedebasdep"/>
        </w:rPr>
        <w:footnoteRef/>
      </w:r>
      <w:r w:rsidRPr="00D11B41">
        <w:rPr>
          <w:lang w:val="fr-FR"/>
        </w:rPr>
        <w:t xml:space="preserve"> </w:t>
      </w:r>
      <w:r w:rsidRPr="00D11B41">
        <w:rPr>
          <w:rFonts w:ascii="Calibri" w:hAnsi="Calibri" w:cs="Calibri"/>
          <w:sz w:val="18"/>
          <w:szCs w:val="18"/>
          <w:lang w:val="fr-FR"/>
        </w:rPr>
        <w:t>Données du recensement aérien des éléphants de 2015 (Dias et al., 2015) moins 64 éléphants tués à partir de cette date (base de données MEP)</w:t>
      </w:r>
      <w:r>
        <w:rPr>
          <w:rFonts w:ascii="Calibri" w:hAnsi="Calibri" w:cs="Calibri"/>
          <w:sz w:val="18"/>
          <w:szCs w:val="18"/>
          <w:lang w:val="fr-FR"/>
        </w:rPr>
        <w:t>.</w:t>
      </w:r>
    </w:p>
  </w:footnote>
  <w:footnote w:id="8">
    <w:p w14:paraId="308C6639" w14:textId="77777777" w:rsidR="00C1364E" w:rsidRPr="00D11B41" w:rsidRDefault="00C1364E" w:rsidP="00C1364E">
      <w:pPr>
        <w:pStyle w:val="Notedebasdepage"/>
        <w:tabs>
          <w:tab w:val="left" w:pos="8148"/>
        </w:tabs>
        <w:spacing w:after="0"/>
        <w:rPr>
          <w:rFonts w:ascii="Calibri" w:hAnsi="Calibri" w:cs="Calibri"/>
          <w:sz w:val="16"/>
          <w:szCs w:val="16"/>
          <w:vertAlign w:val="superscript"/>
          <w:lang w:val="fr-FR"/>
        </w:rPr>
      </w:pPr>
      <w:r w:rsidRPr="00791623">
        <w:rPr>
          <w:rStyle w:val="Appelnotedebasdep"/>
        </w:rPr>
        <w:footnoteRef/>
      </w:r>
      <w:r w:rsidRPr="00D11B41">
        <w:rPr>
          <w:lang w:val="fr-FR"/>
        </w:rPr>
        <w:t xml:space="preserve"> </w:t>
      </w:r>
      <w:r w:rsidRPr="00D11B41">
        <w:rPr>
          <w:rFonts w:ascii="Calibri" w:hAnsi="Calibri" w:cs="Calibri"/>
          <w:sz w:val="18"/>
          <w:szCs w:val="18"/>
          <w:lang w:val="fr-FR"/>
        </w:rPr>
        <w:t>Calculé en utilisant un modèle de croissance démographique simple pour une situation de braconnage nulle Nt = λT N0, où λ = 1,014, T = 6 ans et No = 192-242</w:t>
      </w:r>
    </w:p>
  </w:footnote>
  <w:footnote w:id="9">
    <w:p w14:paraId="153A5EC5" w14:textId="77777777" w:rsidR="00C1364E" w:rsidRPr="008619B3" w:rsidRDefault="00C1364E" w:rsidP="00C1364E">
      <w:pPr>
        <w:pStyle w:val="Notedebasdepage"/>
        <w:spacing w:after="0"/>
        <w:rPr>
          <w:rFonts w:ascii="Calibri" w:hAnsi="Calibri" w:cs="Calibri"/>
          <w:sz w:val="16"/>
          <w:szCs w:val="16"/>
          <w:lang w:val="fr-FR"/>
        </w:rPr>
      </w:pPr>
      <w:r w:rsidRPr="00791623">
        <w:rPr>
          <w:rStyle w:val="Appelnotedebasdep"/>
        </w:rPr>
        <w:footnoteRef/>
      </w:r>
      <w:r w:rsidRPr="00B322D7">
        <w:rPr>
          <w:lang w:val="fr-FR"/>
        </w:rPr>
        <w:t xml:space="preserve"> </w:t>
      </w:r>
      <w:r w:rsidRPr="00B322D7">
        <w:rPr>
          <w:rFonts w:ascii="Calibri" w:hAnsi="Calibri" w:cs="Calibri"/>
          <w:sz w:val="18"/>
          <w:szCs w:val="18"/>
          <w:lang w:val="fr-FR"/>
        </w:rPr>
        <w:t xml:space="preserve">Calculé sur la base des données de Hansen, MC, PV Potapov, R. Moore, M. Hancher, SA Turubanova, A. Tyukavina, D. Thau, SV Stehman, SJ Goetz, TR Loveland, A. Kommareddy, A. Egorov, L. Chini, CO Justice, et JRG Townshend. </w:t>
      </w:r>
      <w:r w:rsidRPr="008619B3">
        <w:rPr>
          <w:rFonts w:ascii="Calibri" w:hAnsi="Calibri" w:cs="Calibri"/>
          <w:sz w:val="18"/>
          <w:szCs w:val="18"/>
          <w:lang w:val="fr-FR"/>
        </w:rPr>
        <w:t>2013. «</w:t>
      </w:r>
      <w:r>
        <w:rPr>
          <w:rFonts w:ascii="Calibri" w:hAnsi="Calibri" w:cs="Calibri"/>
          <w:sz w:val="18"/>
          <w:szCs w:val="18"/>
          <w:lang w:val="fr-FR"/>
        </w:rPr>
        <w:t xml:space="preserve"> </w:t>
      </w:r>
      <w:r w:rsidRPr="008619B3">
        <w:rPr>
          <w:rFonts w:ascii="Calibri" w:hAnsi="Calibri" w:cs="Calibri"/>
          <w:sz w:val="18"/>
          <w:szCs w:val="18"/>
          <w:lang w:val="fr-FR"/>
        </w:rPr>
        <w:t>Cartes mondiales à haute résolution du changement de couvert forestier au XXIe siècle</w:t>
      </w:r>
      <w:r>
        <w:rPr>
          <w:rFonts w:ascii="Calibri" w:hAnsi="Calibri" w:cs="Calibri"/>
          <w:sz w:val="18"/>
          <w:szCs w:val="18"/>
          <w:lang w:val="fr-FR"/>
        </w:rPr>
        <w:t xml:space="preserve"> </w:t>
      </w:r>
      <w:r w:rsidRPr="008619B3">
        <w:rPr>
          <w:rFonts w:ascii="Calibri" w:hAnsi="Calibri" w:cs="Calibri"/>
          <w:sz w:val="18"/>
          <w:szCs w:val="18"/>
          <w:lang w:val="fr-FR"/>
        </w:rPr>
        <w:t>». Science 342 (15 novembre)</w:t>
      </w:r>
      <w:r>
        <w:rPr>
          <w:rFonts w:ascii="Calibri" w:hAnsi="Calibri" w:cs="Calibri"/>
          <w:sz w:val="18"/>
          <w:szCs w:val="18"/>
          <w:lang w:val="fr-FR"/>
        </w:rPr>
        <w:t xml:space="preserve"> </w:t>
      </w:r>
      <w:r w:rsidRPr="008619B3">
        <w:rPr>
          <w:rFonts w:ascii="Calibri" w:hAnsi="Calibri" w:cs="Calibri"/>
          <w:sz w:val="18"/>
          <w:szCs w:val="18"/>
          <w:lang w:val="fr-FR"/>
        </w:rPr>
        <w:t>: 850-53, couche de couverture forestière et boisée pour la zone du projet 2000 (&gt; = 1% du couvert arboré) où la couverture forestière a été perdue en 2001-2016 (~ 21 ha). La zone comprend une petite forêt, des terres boisées et une savane boisée dans toute la zone du projet.</w:t>
      </w:r>
    </w:p>
  </w:footnote>
  <w:footnote w:id="10">
    <w:p w14:paraId="7B5258AC" w14:textId="77777777" w:rsidR="00C1364E" w:rsidRPr="00D11B41" w:rsidRDefault="00C1364E" w:rsidP="00C1364E">
      <w:pPr>
        <w:pStyle w:val="Notedebasdepage"/>
        <w:spacing w:after="0"/>
        <w:rPr>
          <w:rFonts w:ascii="Calibri" w:hAnsi="Calibri" w:cs="Calibri"/>
          <w:sz w:val="16"/>
          <w:szCs w:val="16"/>
          <w:lang w:val="fr-FR"/>
        </w:rPr>
      </w:pPr>
      <w:r w:rsidRPr="00791623">
        <w:rPr>
          <w:rStyle w:val="Appelnotedebasdep"/>
        </w:rPr>
        <w:footnoteRef/>
      </w:r>
      <w:r w:rsidRPr="00D11B41">
        <w:rPr>
          <w:lang w:val="fr-FR"/>
        </w:rPr>
        <w:t xml:space="preserve"> </w:t>
      </w:r>
      <w:r w:rsidRPr="00D11B41">
        <w:rPr>
          <w:rFonts w:ascii="Calibri" w:hAnsi="Calibri" w:cs="Calibri"/>
          <w:sz w:val="18"/>
          <w:szCs w:val="18"/>
          <w:lang w:val="fr-FR"/>
        </w:rPr>
        <w:t>Le but du projet est de maintenir la stabilité des forêts et des zones boisées en réduisant le taux de déforestation grâce à l'application de la loi et aux efforts de consommation et de reboisement durables par les communautés locales</w:t>
      </w:r>
    </w:p>
  </w:footnote>
  <w:footnote w:id="11">
    <w:p w14:paraId="2120A5AA" w14:textId="77777777" w:rsidR="00C1364E" w:rsidRPr="00EE3AB2" w:rsidRDefault="00C1364E" w:rsidP="00C1364E">
      <w:pPr>
        <w:pStyle w:val="Notedebasdepage"/>
        <w:rPr>
          <w:lang w:val="fr-FR"/>
        </w:rPr>
      </w:pPr>
      <w:r>
        <w:rPr>
          <w:rStyle w:val="Appelnotedebasdep"/>
        </w:rPr>
        <w:footnoteRef/>
      </w:r>
      <w:r w:rsidRPr="00EE3AB2">
        <w:rPr>
          <w:lang w:val="fr-FR"/>
        </w:rPr>
        <w:t xml:space="preserve"> </w:t>
      </w:r>
      <w:r w:rsidRPr="00357806">
        <w:rPr>
          <w:rFonts w:ascii="Calibri" w:hAnsi="Calibri" w:cs="Calibri"/>
          <w:sz w:val="18"/>
          <w:szCs w:val="18"/>
          <w:lang w:val="fr-FR"/>
        </w:rPr>
        <w:t>La surface totale arborée dans la zone du projet est estimée à 3 891 ha</w:t>
      </w:r>
      <w:r>
        <w:rPr>
          <w:rFonts w:ascii="Calibri" w:hAnsi="Calibri" w:cs="Calibri"/>
          <w:sz w:val="18"/>
          <w:szCs w:val="18"/>
          <w:lang w:val="fr-FR"/>
        </w:rPr>
        <w:t xml:space="preserve"> (3 890,7 ha exactement)</w:t>
      </w:r>
      <w:r w:rsidRPr="00357806">
        <w:rPr>
          <w:rFonts w:ascii="Calibri" w:hAnsi="Calibri" w:cs="Calibri"/>
          <w:sz w:val="18"/>
          <w:szCs w:val="18"/>
          <w:lang w:val="fr-FR"/>
        </w:rPr>
        <w:t xml:space="preserve">. Cette diminution apparente par rapport à la valeur de référence est due à une actualisation des données utilisées pour l’analyse </w:t>
      </w:r>
      <w:r>
        <w:rPr>
          <w:rFonts w:ascii="Calibri" w:hAnsi="Calibri" w:cs="Calibri"/>
          <w:sz w:val="18"/>
          <w:szCs w:val="18"/>
          <w:lang w:val="fr-FR"/>
        </w:rPr>
        <w:t>(</w:t>
      </w:r>
      <w:r w:rsidRPr="00357806">
        <w:rPr>
          <w:rFonts w:ascii="Calibri" w:hAnsi="Calibri" w:cs="Calibri"/>
          <w:sz w:val="18"/>
          <w:szCs w:val="18"/>
          <w:lang w:val="fr-FR"/>
        </w:rPr>
        <w:t xml:space="preserve">Hansen, M. C., P. V. Potapov, R. Moore, M. Hancher, S. A. Turubanova, A. Tyukavina, D. Thau, S. V. Stehman, S. J. Goetz, T. R. Loveland, A. Kommareddy, A. Egorov, L. Chini, C. O. Justice, and J. R. G. Townshend. </w:t>
      </w:r>
      <w:r w:rsidRPr="00357806">
        <w:rPr>
          <w:rFonts w:ascii="Calibri" w:hAnsi="Calibri" w:cs="Calibri"/>
          <w:sz w:val="18"/>
          <w:szCs w:val="18"/>
          <w:lang w:val="en-GB"/>
        </w:rPr>
        <w:t xml:space="preserve">2013. “High-Resolution Global Maps of 21st-Century Forest Cover Change.” </w:t>
      </w:r>
      <w:r w:rsidRPr="00427360">
        <w:rPr>
          <w:rFonts w:ascii="Calibri" w:hAnsi="Calibri" w:cs="Calibri"/>
          <w:sz w:val="18"/>
          <w:szCs w:val="18"/>
          <w:lang w:val="fr-FR"/>
        </w:rPr>
        <w:t>Science 342 (15 November): 850–53, disponibles sur</w:t>
      </w:r>
      <w:r>
        <w:rPr>
          <w:rFonts w:ascii="Calibri" w:hAnsi="Calibri" w:cs="Calibri"/>
          <w:sz w:val="18"/>
          <w:szCs w:val="18"/>
          <w:lang w:val="fr-FR"/>
        </w:rPr>
        <w:t xml:space="preserve"> </w:t>
      </w:r>
      <w:r w:rsidRPr="00427360">
        <w:rPr>
          <w:rFonts w:ascii="Calibri" w:hAnsi="Calibri" w:cs="Calibri"/>
          <w:sz w:val="18"/>
          <w:szCs w:val="18"/>
          <w:lang w:val="fr-FR"/>
        </w:rPr>
        <w:t xml:space="preserve">: </w:t>
      </w:r>
      <w:hyperlink r:id="rId1" w:history="1">
        <w:r w:rsidRPr="00427360">
          <w:rPr>
            <w:rStyle w:val="Lienhypertexte"/>
            <w:rFonts w:ascii="Calibri" w:hAnsi="Calibri" w:cs="Calibri"/>
            <w:sz w:val="18"/>
            <w:szCs w:val="18"/>
            <w:lang w:val="fr-FR"/>
          </w:rPr>
          <w:t>http://earthenginepartners.appspot.com/science-2013-global-forest</w:t>
        </w:r>
      </w:hyperlink>
      <w:r w:rsidRPr="00427360">
        <w:rPr>
          <w:rFonts w:ascii="Calibri" w:hAnsi="Calibri" w:cs="Calibri"/>
          <w:sz w:val="18"/>
          <w:szCs w:val="18"/>
          <w:lang w:val="fr-FR"/>
        </w:rPr>
        <w:t xml:space="preserve">.) </w:t>
      </w:r>
      <w:r w:rsidRPr="00357806">
        <w:rPr>
          <w:rFonts w:ascii="Calibri" w:hAnsi="Calibri" w:cs="Calibri"/>
          <w:sz w:val="18"/>
          <w:szCs w:val="18"/>
          <w:lang w:val="fr-FR"/>
        </w:rPr>
        <w:t>Ces données sont actualisées tous les deux ou trois ans, la dernière mise à jour (v 1.8) datant de 2020</w:t>
      </w:r>
      <w:r>
        <w:rPr>
          <w:rFonts w:ascii="Calibri" w:hAnsi="Calibri" w:cs="Calibri"/>
          <w:sz w:val="18"/>
          <w:szCs w:val="18"/>
          <w:lang w:val="fr-FR"/>
        </w:rPr>
        <w:t xml:space="preserve"> (</w:t>
      </w:r>
      <w:r w:rsidRPr="00357806">
        <w:rPr>
          <w:rFonts w:ascii="Calibri" w:hAnsi="Calibri" w:cs="Calibri"/>
          <w:sz w:val="18"/>
          <w:szCs w:val="18"/>
          <w:lang w:val="fr-FR"/>
        </w:rPr>
        <w:t>https://storage.googleapis.com/earthenginepartners-hansen/GFC-2020-v1.8/download.html</w:t>
      </w:r>
      <w:r>
        <w:rPr>
          <w:rFonts w:ascii="Calibri" w:hAnsi="Calibri" w:cs="Calibri"/>
          <w:sz w:val="18"/>
          <w:szCs w:val="18"/>
          <w:lang w:val="fr-FR"/>
        </w:rPr>
        <w:t xml:space="preserve">). </w:t>
      </w:r>
      <w:r w:rsidRPr="00FE5A29">
        <w:rPr>
          <w:rFonts w:ascii="Calibri" w:hAnsi="Calibri" w:cs="Calibri"/>
          <w:sz w:val="18"/>
          <w:szCs w:val="18"/>
          <w:lang w:val="fr-FR"/>
        </w:rPr>
        <w:t>Par souci de cohérence, la valeur de référence a été recalculée sur la base des données actualisées</w:t>
      </w:r>
      <w:r>
        <w:rPr>
          <w:rFonts w:ascii="Calibri" w:hAnsi="Calibri" w:cs="Calibri"/>
          <w:sz w:val="18"/>
          <w:szCs w:val="18"/>
          <w:lang w:val="fr-FR"/>
        </w:rPr>
        <w:t xml:space="preserve"> soit 3 891,14 ha. Les 0,44 ha</w:t>
      </w:r>
      <w:r w:rsidRPr="00FE5A29">
        <w:rPr>
          <w:rFonts w:ascii="Calibri" w:hAnsi="Calibri" w:cs="Calibri"/>
          <w:sz w:val="18"/>
          <w:szCs w:val="18"/>
          <w:lang w:val="fr-FR"/>
        </w:rPr>
        <w:t xml:space="preserve"> de couvert forestier </w:t>
      </w:r>
      <w:r>
        <w:rPr>
          <w:rFonts w:ascii="Calibri" w:hAnsi="Calibri" w:cs="Calibri"/>
          <w:sz w:val="18"/>
          <w:szCs w:val="18"/>
          <w:lang w:val="fr-FR"/>
        </w:rPr>
        <w:t>perdus (3 891,14 ha – 3 890,7 ha) ont été perdus en</w:t>
      </w:r>
      <w:r w:rsidRPr="00FE5A29">
        <w:rPr>
          <w:rFonts w:ascii="Calibri" w:hAnsi="Calibri" w:cs="Calibri"/>
          <w:sz w:val="18"/>
          <w:szCs w:val="18"/>
          <w:lang w:val="fr-FR"/>
        </w:rPr>
        <w:t xml:space="preserve"> 2019. Cette surface correspond à un carré d’environ 66mx66m - une perte minime au regard de la superficie totale du projet (&gt; 4 millions d’hectares) et bien inférieure à la marge d’erreur. La surface arborée dans la zone du projet peut donc être considérée stable.</w:t>
      </w:r>
      <w:r>
        <w:rPr>
          <w:rFonts w:ascii="Calibri" w:hAnsi="Calibri" w:cs="Calibri"/>
          <w:sz w:val="18"/>
          <w:szCs w:val="18"/>
          <w:lang w:val="fr-FR"/>
        </w:rPr>
        <w:t xml:space="preserve"> </w:t>
      </w:r>
      <w:r w:rsidRPr="00427360">
        <w:rPr>
          <w:rFonts w:ascii="Calibri" w:hAnsi="Calibri" w:cs="Calibri"/>
          <w:sz w:val="18"/>
          <w:szCs w:val="18"/>
          <w:lang w:val="fr-FR"/>
        </w:rPr>
        <w:t xml:space="preserve">Il demeure que la capacité de détection à l’aide de cette méthode varie d’une zone du globe à l’autre, les changements étant plus difficilement détectables dans les zones arides où le couvert forestier est relativement épars, comme c’est le cas dans la zone d’intervention du projet, et où la marge d’erreur est généralement trop importante. La probabilité que des changements potentiels résultant de la GRN soient détectés sur une période aussi courte est donc minime, voire impossible. Des études localisées se focalisant sur des zones clés spécifiques sont en l’occurrence plus appropriées, et le </w:t>
      </w:r>
      <w:r>
        <w:rPr>
          <w:rFonts w:ascii="Calibri" w:hAnsi="Calibri" w:cs="Calibri"/>
          <w:sz w:val="18"/>
          <w:szCs w:val="18"/>
          <w:lang w:val="fr-FR"/>
        </w:rPr>
        <w:t>PEM</w:t>
      </w:r>
      <w:r w:rsidRPr="00427360">
        <w:rPr>
          <w:rFonts w:ascii="Calibri" w:hAnsi="Calibri" w:cs="Calibri"/>
          <w:sz w:val="18"/>
          <w:szCs w:val="18"/>
          <w:lang w:val="fr-FR"/>
        </w:rPr>
        <w:t xml:space="preserve"> espère financer une telle étude</w:t>
      </w:r>
      <w:r>
        <w:rPr>
          <w:rFonts w:ascii="Calibri" w:hAnsi="Calibri" w:cs="Calibri"/>
          <w:sz w:val="18"/>
          <w:szCs w:val="18"/>
          <w:lang w:val="fr-FR"/>
        </w:rPr>
        <w:t xml:space="preserve"> prochainement</w:t>
      </w:r>
      <w:r w:rsidRPr="00427360">
        <w:rPr>
          <w:rFonts w:ascii="Calibri" w:hAnsi="Calibri" w:cs="Calibri"/>
          <w:sz w:val="18"/>
          <w:szCs w:val="18"/>
          <w:lang w:val="fr-FR"/>
        </w:rPr>
        <w:t>.</w:t>
      </w:r>
    </w:p>
  </w:footnote>
  <w:footnote w:id="12">
    <w:p w14:paraId="79AB289F" w14:textId="77777777" w:rsidR="00C1364E" w:rsidRPr="00A07656" w:rsidRDefault="00C1364E" w:rsidP="00C1364E">
      <w:pPr>
        <w:pStyle w:val="Notedebasdepage"/>
        <w:spacing w:after="0"/>
        <w:contextualSpacing/>
        <w:rPr>
          <w:lang w:val="fr-FR"/>
        </w:rPr>
      </w:pPr>
      <w:r>
        <w:rPr>
          <w:rStyle w:val="Appelnotedebasdep"/>
        </w:rPr>
        <w:footnoteRef/>
      </w:r>
      <w:r w:rsidRPr="00A07656">
        <w:rPr>
          <w:lang w:val="fr-FR"/>
        </w:rPr>
        <w:t xml:space="preserve"> </w:t>
      </w:r>
      <w:r w:rsidRPr="00A07656">
        <w:rPr>
          <w:rFonts w:ascii="Calibri" w:hAnsi="Calibri" w:cs="Calibri"/>
          <w:sz w:val="18"/>
          <w:szCs w:val="18"/>
          <w:lang w:val="fr-FR"/>
        </w:rPr>
        <w:t xml:space="preserve">3 en février </w:t>
      </w:r>
      <w:r>
        <w:rPr>
          <w:rFonts w:ascii="Calibri" w:hAnsi="Calibri" w:cs="Calibri"/>
          <w:sz w:val="18"/>
          <w:szCs w:val="18"/>
          <w:lang w:val="fr-FR"/>
        </w:rPr>
        <w:t xml:space="preserve">2022, </w:t>
      </w:r>
      <w:r w:rsidRPr="00A07656">
        <w:rPr>
          <w:rFonts w:ascii="Calibri" w:hAnsi="Calibri" w:cs="Calibri"/>
          <w:sz w:val="18"/>
          <w:szCs w:val="18"/>
          <w:lang w:val="fr-FR"/>
        </w:rPr>
        <w:t>1 en mars 2022</w:t>
      </w:r>
      <w:r>
        <w:rPr>
          <w:rFonts w:ascii="Calibri" w:hAnsi="Calibri" w:cs="Calibri"/>
          <w:sz w:val="18"/>
          <w:szCs w:val="18"/>
          <w:lang w:val="fr-FR"/>
        </w:rPr>
        <w:t>, 1 en juillet 2022.</w:t>
      </w:r>
    </w:p>
  </w:footnote>
  <w:footnote w:id="13">
    <w:p w14:paraId="364255AC" w14:textId="77777777" w:rsidR="00C1364E" w:rsidRPr="00DF47DF" w:rsidRDefault="00C1364E" w:rsidP="00C1364E">
      <w:pPr>
        <w:pStyle w:val="Notedebasdepage"/>
        <w:spacing w:after="0"/>
        <w:rPr>
          <w:rFonts w:ascii="Calibri" w:hAnsi="Calibri" w:cs="Calibri"/>
          <w:sz w:val="16"/>
          <w:szCs w:val="16"/>
          <w:lang w:val="it-IT"/>
        </w:rPr>
      </w:pPr>
      <w:r w:rsidRPr="005B550E">
        <w:rPr>
          <w:rStyle w:val="Appelnotedebasdep"/>
          <w:lang w:val="fr-FR"/>
        </w:rPr>
        <w:footnoteRef/>
      </w:r>
      <w:r w:rsidRPr="005B550E">
        <w:rPr>
          <w:lang w:val="fr-FR"/>
        </w:rPr>
        <w:t xml:space="preserve"> </w:t>
      </w:r>
      <w:r w:rsidRPr="003C4E2B">
        <w:rPr>
          <w:rFonts w:ascii="Calibri" w:hAnsi="Calibri" w:cs="Calibri"/>
          <w:sz w:val="18"/>
          <w:szCs w:val="18"/>
          <w:lang w:val="fr-FR"/>
        </w:rPr>
        <w:t>Calculé pour la zone de la Réserve partielle d'éléphants à l'aide des données mondiales de 500m de la zone brûlée MODIS L3 pour octobre 2016 - mai 2017 (saison sèche au Mali)</w:t>
      </w:r>
    </w:p>
  </w:footnote>
  <w:footnote w:id="14">
    <w:p w14:paraId="29DD6F58" w14:textId="77777777" w:rsidR="00C1364E" w:rsidRPr="00DF47DF" w:rsidRDefault="00C1364E" w:rsidP="00C1364E">
      <w:pPr>
        <w:pStyle w:val="Notedebasdepage"/>
        <w:spacing w:after="0"/>
        <w:rPr>
          <w:rFonts w:ascii="Calibri" w:hAnsi="Calibri" w:cs="Calibri"/>
          <w:sz w:val="16"/>
          <w:szCs w:val="16"/>
          <w:lang w:val="it-IT"/>
        </w:rPr>
      </w:pPr>
      <w:r w:rsidRPr="005B550E">
        <w:rPr>
          <w:rStyle w:val="Appelnotedebasdep"/>
          <w:lang w:val="fr-FR"/>
        </w:rPr>
        <w:footnoteRef/>
      </w:r>
      <w:r w:rsidRPr="005B550E">
        <w:rPr>
          <w:lang w:val="fr-FR"/>
        </w:rPr>
        <w:t xml:space="preserve"> </w:t>
      </w:r>
      <w:r w:rsidRPr="003C4E2B">
        <w:rPr>
          <w:rFonts w:ascii="Calibri" w:hAnsi="Calibri" w:cs="Calibri"/>
          <w:sz w:val="18"/>
          <w:szCs w:val="18"/>
          <w:lang w:val="fr-FR"/>
        </w:rPr>
        <w:t>Diminution prévue de la zone de feu de brousse en raison de l'application accrue de la loi et de la GCRN (produits 2.3 et 3.1</w:t>
      </w:r>
      <w:r>
        <w:rPr>
          <w:rFonts w:ascii="Calibri" w:hAnsi="Calibri" w:cs="Calibri"/>
          <w:sz w:val="18"/>
          <w:szCs w:val="18"/>
          <w:lang w:val="fr-FR"/>
        </w:rPr>
        <w:t>)</w:t>
      </w:r>
    </w:p>
  </w:footnote>
  <w:footnote w:id="15">
    <w:p w14:paraId="31E9449C" w14:textId="77777777" w:rsidR="00C1364E" w:rsidRPr="00DF47DF" w:rsidRDefault="00C1364E" w:rsidP="00B2540B">
      <w:pPr>
        <w:pStyle w:val="Notedebasdepage"/>
        <w:spacing w:after="0"/>
        <w:rPr>
          <w:rFonts w:ascii="Calibri" w:hAnsi="Calibri" w:cs="Calibri"/>
          <w:sz w:val="16"/>
          <w:szCs w:val="16"/>
          <w:lang w:val="it-IT"/>
        </w:rPr>
      </w:pPr>
      <w:r w:rsidRPr="005B550E">
        <w:rPr>
          <w:rStyle w:val="Appelnotedebasdep"/>
          <w:lang w:val="fr-FR"/>
        </w:rPr>
        <w:footnoteRef/>
      </w:r>
      <w:r w:rsidRPr="005B550E">
        <w:rPr>
          <w:lang w:val="fr-FR"/>
        </w:rPr>
        <w:t xml:space="preserve"> </w:t>
      </w:r>
      <w:r w:rsidRPr="00D05672">
        <w:rPr>
          <w:rFonts w:ascii="Calibri" w:hAnsi="Calibri" w:cs="Calibri"/>
          <w:sz w:val="18"/>
          <w:szCs w:val="18"/>
          <w:lang w:val="fr-FR"/>
        </w:rPr>
        <w:t>Trois réserves de pâturage établies avec le soutien MEP existent actuellement dans la région du Gourma</w:t>
      </w:r>
      <w:r>
        <w:rPr>
          <w:rFonts w:ascii="Calibri" w:hAnsi="Calibri" w:cs="Calibri"/>
          <w:sz w:val="18"/>
          <w:szCs w:val="18"/>
          <w:lang w:val="fr-FR"/>
        </w:rPr>
        <w:t xml:space="preserve"> </w:t>
      </w:r>
      <w:r w:rsidRPr="00D05672">
        <w:rPr>
          <w:rFonts w:ascii="Calibri" w:hAnsi="Calibri" w:cs="Calibri"/>
          <w:sz w:val="18"/>
          <w:szCs w:val="18"/>
          <w:lang w:val="fr-FR"/>
        </w:rPr>
        <w:t>: Basena North, Basena South 1 et Basena South 2 avec une superficie totale de 175 000 ha</w:t>
      </w:r>
    </w:p>
  </w:footnote>
  <w:footnote w:id="16">
    <w:p w14:paraId="030C1EA4" w14:textId="77777777" w:rsidR="00C1364E" w:rsidRPr="00EE3AB2" w:rsidRDefault="00C1364E" w:rsidP="00B00E64">
      <w:pPr>
        <w:pStyle w:val="Notedebasdepage"/>
        <w:spacing w:after="0"/>
        <w:rPr>
          <w:lang w:val="fr-FR"/>
        </w:rPr>
      </w:pPr>
      <w:r>
        <w:rPr>
          <w:rStyle w:val="Appelnotedebasdep"/>
        </w:rPr>
        <w:footnoteRef/>
      </w:r>
      <w:r w:rsidRPr="00EE3AB2">
        <w:rPr>
          <w:lang w:val="fr-FR"/>
        </w:rPr>
        <w:t xml:space="preserve"> </w:t>
      </w:r>
      <w:r w:rsidRPr="00A4406A">
        <w:rPr>
          <w:rFonts w:ascii="Calibri" w:hAnsi="Calibri" w:cs="Calibri"/>
          <w:sz w:val="18"/>
          <w:szCs w:val="18"/>
          <w:lang w:val="fr-FR"/>
        </w:rPr>
        <w:t xml:space="preserve">19 996 ha dans le cadre de </w:t>
      </w:r>
      <w:r w:rsidRPr="0061046C">
        <w:rPr>
          <w:rFonts w:ascii="Calibri" w:hAnsi="Calibri" w:cs="Calibri"/>
          <w:sz w:val="18"/>
          <w:szCs w:val="18"/>
          <w:lang w:val="fr-FR"/>
        </w:rPr>
        <w:t>21 projets GRN financés</w:t>
      </w:r>
      <w:r>
        <w:rPr>
          <w:rFonts w:ascii="Calibri" w:hAnsi="Calibri" w:cs="Calibri"/>
          <w:sz w:val="18"/>
          <w:szCs w:val="18"/>
          <w:lang w:val="fr-FR"/>
        </w:rPr>
        <w:t xml:space="preserve"> + 18 195,205 ha sur auto-financement des communautés.</w:t>
      </w:r>
    </w:p>
  </w:footnote>
  <w:footnote w:id="17">
    <w:p w14:paraId="5082F103" w14:textId="77777777" w:rsidR="00C1364E" w:rsidRPr="00D24023" w:rsidRDefault="00C1364E" w:rsidP="00B2540B">
      <w:pPr>
        <w:pStyle w:val="Notedebasdepage"/>
        <w:spacing w:after="0"/>
        <w:rPr>
          <w:rFonts w:ascii="Calibri" w:hAnsi="Calibri" w:cs="Calibri"/>
          <w:sz w:val="16"/>
          <w:szCs w:val="16"/>
          <w:lang w:val="it-IT"/>
        </w:rPr>
      </w:pPr>
      <w:r w:rsidRPr="005B550E">
        <w:rPr>
          <w:rStyle w:val="Appelnotedebasdep"/>
          <w:lang w:val="fr-FR"/>
        </w:rPr>
        <w:footnoteRef/>
      </w:r>
      <w:r w:rsidRPr="005B550E">
        <w:rPr>
          <w:lang w:val="fr-FR"/>
        </w:rPr>
        <w:t xml:space="preserve"> </w:t>
      </w:r>
      <w:r w:rsidRPr="00D05672">
        <w:rPr>
          <w:rFonts w:ascii="Calibri" w:hAnsi="Calibri" w:cs="Calibri"/>
          <w:sz w:val="18"/>
          <w:szCs w:val="18"/>
          <w:lang w:val="fr-FR"/>
        </w:rPr>
        <w:t>Surface minimale qui sera couverte par les plans de gestion des ressources naturelles communautaires élaborés et mis en œuvre dans les districts de Gandamia, Bambara-Maoude et Haire</w:t>
      </w:r>
    </w:p>
  </w:footnote>
  <w:footnote w:id="18">
    <w:p w14:paraId="74DBDCFF" w14:textId="77777777" w:rsidR="00C1364E" w:rsidRPr="00DD7251" w:rsidRDefault="00C1364E" w:rsidP="00C1364E">
      <w:pPr>
        <w:pStyle w:val="Notedebasdepage"/>
        <w:spacing w:after="0"/>
        <w:contextualSpacing/>
        <w:rPr>
          <w:rFonts w:asciiTheme="minorHAnsi" w:hAnsiTheme="minorHAnsi" w:cstheme="minorHAnsi"/>
          <w:sz w:val="16"/>
          <w:szCs w:val="16"/>
          <w:lang w:val="it-IT"/>
        </w:rPr>
      </w:pPr>
      <w:r>
        <w:rPr>
          <w:rStyle w:val="Appelnotedebasdep"/>
        </w:rPr>
        <w:footnoteRef/>
      </w:r>
      <w:r w:rsidRPr="00D51008">
        <w:rPr>
          <w:lang w:val="fr-FR"/>
        </w:rPr>
        <w:t xml:space="preserve"> </w:t>
      </w:r>
      <w:r w:rsidRPr="00D46B60">
        <w:rPr>
          <w:rFonts w:asciiTheme="minorHAnsi" w:hAnsiTheme="minorHAnsi" w:cstheme="minorHAnsi"/>
          <w:sz w:val="16"/>
          <w:szCs w:val="16"/>
          <w:lang w:val="fr-FR"/>
        </w:rPr>
        <w:t xml:space="preserve">Sur la base de l'expérience du Mali Elephant Project dans la région de Gourma avec 8 CBNRM et des initiatives de subsistance </w:t>
      </w:r>
      <w:r>
        <w:rPr>
          <w:rFonts w:asciiTheme="minorHAnsi" w:hAnsiTheme="minorHAnsi" w:cstheme="minorHAnsi"/>
          <w:sz w:val="16"/>
          <w:szCs w:val="16"/>
          <w:lang w:val="fr-FR"/>
        </w:rPr>
        <w:t>de remplacement</w:t>
      </w:r>
      <w:r w:rsidRPr="00D46B60">
        <w:rPr>
          <w:rFonts w:asciiTheme="minorHAnsi" w:hAnsiTheme="minorHAnsi" w:cstheme="minorHAnsi"/>
          <w:sz w:val="16"/>
          <w:szCs w:val="16"/>
          <w:lang w:val="fr-FR"/>
        </w:rPr>
        <w:t xml:space="preserve"> qui ont bénéficié à 5 503 personnes (1 915 hommes et 3 588 femmes). </w:t>
      </w:r>
      <w:r>
        <w:rPr>
          <w:rFonts w:asciiTheme="minorHAnsi" w:hAnsiTheme="minorHAnsi" w:cstheme="minorHAnsi"/>
          <w:sz w:val="16"/>
          <w:szCs w:val="16"/>
          <w:lang w:val="fr-FR"/>
        </w:rPr>
        <w:t>Il est donc réaliste de prévoir</w:t>
      </w:r>
      <w:r w:rsidRPr="00D46B60">
        <w:rPr>
          <w:rFonts w:asciiTheme="minorHAnsi" w:hAnsiTheme="minorHAnsi" w:cstheme="minorHAnsi"/>
          <w:sz w:val="16"/>
          <w:szCs w:val="16"/>
          <w:lang w:val="fr-FR"/>
        </w:rPr>
        <w:t xml:space="preserve"> 50% de participation des femmes à la mise en œuvre du projet.</w:t>
      </w:r>
    </w:p>
  </w:footnote>
  <w:footnote w:id="19">
    <w:p w14:paraId="31BA1248" w14:textId="77777777" w:rsidR="00C1364E" w:rsidRPr="005336C2" w:rsidRDefault="00C1364E" w:rsidP="00C1364E">
      <w:pPr>
        <w:pStyle w:val="Notedebasdepage"/>
        <w:rPr>
          <w:lang w:val="fr-FR"/>
        </w:rPr>
      </w:pPr>
      <w:r>
        <w:rPr>
          <w:rStyle w:val="Appelnotedebasdep"/>
        </w:rPr>
        <w:footnoteRef/>
      </w:r>
      <w:r w:rsidRPr="005336C2">
        <w:rPr>
          <w:lang w:val="fr-FR"/>
        </w:rPr>
        <w:t xml:space="preserve"> </w:t>
      </w:r>
      <w:r>
        <w:rPr>
          <w:rFonts w:asciiTheme="minorHAnsi" w:hAnsiTheme="minorHAnsi" w:cstheme="minorHAnsi"/>
          <w:sz w:val="16"/>
          <w:szCs w:val="16"/>
          <w:lang w:val="fr-FR"/>
        </w:rPr>
        <w:t>Comprend les participants aux activités financées relatives à la composante 3 pour la période de référence, toutes activités confondues (réunions, assemblées, ateliers, pare-feu, etc.), sur la base des données disponibles au moment du rapport soit 13 350</w:t>
      </w:r>
      <w:r w:rsidRPr="008E7DC0">
        <w:rPr>
          <w:rFonts w:asciiTheme="minorHAnsi" w:hAnsiTheme="minorHAnsi" w:cstheme="minorHAnsi"/>
          <w:sz w:val="16"/>
          <w:szCs w:val="16"/>
          <w:lang w:val="fr-FR"/>
        </w:rPr>
        <w:t xml:space="preserve"> dont </w:t>
      </w:r>
      <w:r>
        <w:rPr>
          <w:rFonts w:asciiTheme="minorHAnsi" w:hAnsiTheme="minorHAnsi" w:cstheme="minorHAnsi"/>
          <w:sz w:val="16"/>
          <w:szCs w:val="16"/>
          <w:lang w:val="fr-FR"/>
        </w:rPr>
        <w:t>9 384</w:t>
      </w:r>
      <w:r w:rsidRPr="008E7DC0">
        <w:rPr>
          <w:rFonts w:asciiTheme="minorHAnsi" w:hAnsiTheme="minorHAnsi" w:cstheme="minorHAnsi"/>
          <w:sz w:val="16"/>
          <w:szCs w:val="16"/>
          <w:lang w:val="fr-FR"/>
        </w:rPr>
        <w:t xml:space="preserve"> H, </w:t>
      </w:r>
      <w:r>
        <w:rPr>
          <w:rFonts w:asciiTheme="minorHAnsi" w:hAnsiTheme="minorHAnsi" w:cstheme="minorHAnsi"/>
          <w:sz w:val="16"/>
          <w:szCs w:val="16"/>
          <w:lang w:val="fr-FR"/>
        </w:rPr>
        <w:t>3 907</w:t>
      </w:r>
      <w:r w:rsidRPr="008E7DC0">
        <w:rPr>
          <w:rFonts w:asciiTheme="minorHAnsi" w:hAnsiTheme="minorHAnsi" w:cstheme="minorHAnsi"/>
          <w:sz w:val="16"/>
          <w:szCs w:val="16"/>
          <w:lang w:val="fr-FR"/>
        </w:rPr>
        <w:t xml:space="preserve"> F</w:t>
      </w:r>
      <w:r>
        <w:rPr>
          <w:rFonts w:asciiTheme="minorHAnsi" w:hAnsiTheme="minorHAnsi" w:cstheme="minorHAnsi"/>
          <w:sz w:val="16"/>
          <w:szCs w:val="16"/>
          <w:lang w:val="fr-FR"/>
        </w:rPr>
        <w:t>. Il s’agit donc d’un % global, qui ne reflète pas nécessairement le % plus élevé de femmes dans des activités spécifiques telles que les AGR.  (Source : Base de données des activités communautaires du PEM, actualisée régulièrement).</w:t>
      </w:r>
    </w:p>
  </w:footnote>
  <w:footnote w:id="20">
    <w:p w14:paraId="728FA3A9" w14:textId="77777777" w:rsidR="002A1E9E" w:rsidRPr="00FC5CCE" w:rsidRDefault="002A1E9E" w:rsidP="0067244C">
      <w:pPr>
        <w:pStyle w:val="Notedebasdepage"/>
        <w:spacing w:after="0"/>
        <w:rPr>
          <w:rFonts w:ascii="Calibri" w:eastAsia="Calibri" w:hAnsi="Calibri" w:cs="Arial"/>
          <w:color w:val="000000"/>
          <w:sz w:val="18"/>
          <w:lang w:val="fr-CA"/>
        </w:rPr>
      </w:pPr>
      <w:r w:rsidRPr="00FC5CCE">
        <w:rPr>
          <w:rFonts w:ascii="Calibri" w:eastAsia="Calibri" w:hAnsi="Calibri" w:cs="Arial"/>
          <w:color w:val="000000"/>
          <w:sz w:val="18"/>
          <w:lang w:val="fr-CA"/>
        </w:rPr>
        <w:footnoteRef/>
      </w:r>
      <w:r w:rsidRPr="00FC5CCE">
        <w:rPr>
          <w:rFonts w:ascii="Calibri" w:eastAsia="Calibri" w:hAnsi="Calibri" w:cs="Arial"/>
          <w:color w:val="000000"/>
          <w:sz w:val="18"/>
          <w:lang w:val="fr-CA"/>
        </w:rPr>
        <w:t xml:space="preserve"> Indiquez quelles activités seront mises en œuvre avec les fonds de la subvention.</w:t>
      </w:r>
    </w:p>
  </w:footnote>
  <w:footnote w:id="21">
    <w:p w14:paraId="0B868E92" w14:textId="77777777" w:rsidR="002A1E9E" w:rsidRPr="00FC5CCE" w:rsidRDefault="002A1E9E" w:rsidP="0067244C">
      <w:pPr>
        <w:pStyle w:val="Notedebasdepage"/>
        <w:spacing w:after="0"/>
        <w:rPr>
          <w:rFonts w:ascii="Calibri" w:eastAsia="Calibri" w:hAnsi="Calibri" w:cs="Arial"/>
          <w:color w:val="000000"/>
          <w:sz w:val="18"/>
          <w:lang w:val="fr-CA"/>
        </w:rPr>
      </w:pPr>
      <w:r w:rsidRPr="00FC5CCE">
        <w:rPr>
          <w:rFonts w:ascii="Calibri" w:eastAsia="Calibri" w:hAnsi="Calibri" w:cs="Arial"/>
          <w:color w:val="000000"/>
          <w:sz w:val="18"/>
          <w:lang w:val="fr-CA"/>
        </w:rPr>
        <w:footnoteRef/>
      </w:r>
      <w:r w:rsidRPr="00FC5CCE">
        <w:rPr>
          <w:rFonts w:ascii="Calibri" w:eastAsia="Calibri" w:hAnsi="Calibri" w:cs="Arial"/>
          <w:color w:val="000000"/>
          <w:sz w:val="18"/>
          <w:lang w:val="fr-CA"/>
        </w:rPr>
        <w:t xml:space="preserve"> Utilisez autant de lignes d'activité que nécessaire.</w:t>
      </w:r>
    </w:p>
  </w:footnote>
  <w:footnote w:id="22">
    <w:p w14:paraId="44183A66" w14:textId="77777777" w:rsidR="002A1E9E" w:rsidRPr="00FC5CCE" w:rsidRDefault="002A1E9E" w:rsidP="0067244C">
      <w:pPr>
        <w:pStyle w:val="Notedebasdepage"/>
        <w:spacing w:after="0"/>
        <w:rPr>
          <w:rFonts w:ascii="Calibri" w:hAnsi="Calibri"/>
          <w:color w:val="000000"/>
          <w:sz w:val="18"/>
          <w:szCs w:val="18"/>
          <w:lang w:val="fr-FR"/>
        </w:rPr>
      </w:pPr>
      <w:r w:rsidRPr="00FC5CCE">
        <w:rPr>
          <w:rFonts w:ascii="Calibri" w:eastAsia="Calibri" w:hAnsi="Calibri" w:cs="Arial"/>
          <w:color w:val="000000"/>
          <w:sz w:val="18"/>
          <w:lang w:val="fr-CA"/>
        </w:rPr>
        <w:footnoteRef/>
      </w:r>
      <w:r w:rsidRPr="00FC5CCE">
        <w:rPr>
          <w:rFonts w:ascii="Calibri" w:eastAsia="Calibri" w:hAnsi="Calibri" w:cs="Arial"/>
          <w:color w:val="000000"/>
          <w:sz w:val="18"/>
          <w:lang w:val="fr-CA"/>
        </w:rPr>
        <w:t xml:space="preserve"> Indiquez les montants du budget dans la devise de la subvention.</w:t>
      </w:r>
    </w:p>
  </w:footnote>
  <w:footnote w:id="23">
    <w:p w14:paraId="70854035" w14:textId="77777777" w:rsidR="002A1E9E" w:rsidRPr="00EE1CAD" w:rsidRDefault="002A1E9E" w:rsidP="0067244C">
      <w:pPr>
        <w:pStyle w:val="Notedebasdepage"/>
        <w:rPr>
          <w:lang w:val="fr-FR"/>
        </w:rPr>
      </w:pPr>
      <w:r w:rsidRPr="00FC5CCE">
        <w:rPr>
          <w:rFonts w:ascii="Calibri" w:eastAsia="Calibri" w:hAnsi="Calibri" w:cs="Arial"/>
          <w:color w:val="000000"/>
          <w:sz w:val="18"/>
          <w:lang w:val="fr-CA"/>
        </w:rPr>
        <w:footnoteRef/>
      </w:r>
      <w:r w:rsidRPr="00FC5CCE">
        <w:rPr>
          <w:rFonts w:ascii="Calibri" w:eastAsia="Calibri" w:hAnsi="Calibri" w:cs="Arial"/>
          <w:color w:val="000000"/>
          <w:sz w:val="18"/>
          <w:lang w:val="fr-CA"/>
        </w:rPr>
        <w:t xml:space="preserve"> Définissez les périodes de temps pertinentes pour la subvention et indiquez à quel moment des activités spécifiques doivent être achevées. En règle générale, les périodes correspondent au moment où les tranches des fonds sont libérées (c.-à-d. Tous les trimestres, tous les six mois, tous les ans). Utilisez autant de périodes que nécessaire.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42C1"/>
    <w:multiLevelType w:val="hybridMultilevel"/>
    <w:tmpl w:val="56F68ED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456A24"/>
    <w:multiLevelType w:val="hybridMultilevel"/>
    <w:tmpl w:val="789EA11C"/>
    <w:lvl w:ilvl="0" w:tplc="E24ACE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404B9"/>
    <w:multiLevelType w:val="hybridMultilevel"/>
    <w:tmpl w:val="E39202B4"/>
    <w:lvl w:ilvl="0" w:tplc="74D6CB18">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A48CA"/>
    <w:multiLevelType w:val="hybridMultilevel"/>
    <w:tmpl w:val="79F2C7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1A1F8B"/>
    <w:multiLevelType w:val="hybridMultilevel"/>
    <w:tmpl w:val="85B6161A"/>
    <w:lvl w:ilvl="0" w:tplc="4ED2364C">
      <w:start w:val="2"/>
      <w:numFmt w:val="bullet"/>
      <w:lvlText w:val="-"/>
      <w:lvlJc w:val="left"/>
      <w:pPr>
        <w:ind w:left="720" w:hanging="360"/>
      </w:pPr>
      <w:rPr>
        <w:rFonts w:ascii="Calibri" w:eastAsia="Calibri" w:hAnsi="Calibri" w:cs="Calibr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0602F2"/>
    <w:multiLevelType w:val="hybridMultilevel"/>
    <w:tmpl w:val="33B2AD2C"/>
    <w:lvl w:ilvl="0" w:tplc="409ACF1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40DA1"/>
    <w:multiLevelType w:val="hybridMultilevel"/>
    <w:tmpl w:val="335EF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6C4CFC"/>
    <w:multiLevelType w:val="hybridMultilevel"/>
    <w:tmpl w:val="4B80B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006A95"/>
    <w:multiLevelType w:val="hybridMultilevel"/>
    <w:tmpl w:val="374A6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513A14"/>
    <w:multiLevelType w:val="hybridMultilevel"/>
    <w:tmpl w:val="09DCA8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2551965"/>
    <w:multiLevelType w:val="hybridMultilevel"/>
    <w:tmpl w:val="DEF88DA8"/>
    <w:lvl w:ilvl="0" w:tplc="61BCCD38">
      <w:start w:val="1"/>
      <w:numFmt w:val="bullet"/>
      <w:lvlText w:val="-"/>
      <w:lvlJc w:val="left"/>
      <w:pPr>
        <w:ind w:left="720" w:hanging="360"/>
      </w:pPr>
      <w:rPr>
        <w:rFonts w:ascii="Arial Narrow" w:eastAsia="Times New Roman" w:hAnsi="Arial Narrow" w:cs="Calibri"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07048FA"/>
    <w:multiLevelType w:val="hybridMultilevel"/>
    <w:tmpl w:val="C5CEF0FE"/>
    <w:lvl w:ilvl="0" w:tplc="5402349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724820"/>
    <w:multiLevelType w:val="hybridMultilevel"/>
    <w:tmpl w:val="906025CE"/>
    <w:lvl w:ilvl="0" w:tplc="409ACF1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F6184D"/>
    <w:multiLevelType w:val="hybridMultilevel"/>
    <w:tmpl w:val="BEAC71D0"/>
    <w:lvl w:ilvl="0" w:tplc="008088D0">
      <w:start w:val="60"/>
      <w:numFmt w:val="bullet"/>
      <w:lvlText w:val="-"/>
      <w:lvlJc w:val="left"/>
      <w:pPr>
        <w:ind w:left="720" w:hanging="360"/>
      </w:pPr>
      <w:rPr>
        <w:rFonts w:ascii="Arial Narrow" w:eastAsia="Times New Roman" w:hAnsi="Arial Narrow" w:cs="Calibr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7E43CF1"/>
    <w:multiLevelType w:val="multilevel"/>
    <w:tmpl w:val="23665AB2"/>
    <w:lvl w:ilvl="0">
      <w:start w:val="1"/>
      <w:numFmt w:val="upperRoman"/>
      <w:lvlText w:val="%1."/>
      <w:lvlJc w:val="left"/>
      <w:pPr>
        <w:ind w:left="720" w:hanging="720"/>
      </w:pPr>
      <w:rPr>
        <w:rFonts w:hint="default"/>
        <w:b/>
        <w:bCs/>
        <w:i w:val="0"/>
        <w:iCs/>
      </w:rPr>
    </w:lvl>
    <w:lvl w:ilvl="1">
      <w:start w:val="1"/>
      <w:numFmt w:val="decimal"/>
      <w:isLgl/>
      <w:lvlText w:val="%1.%2"/>
      <w:lvlJc w:val="left"/>
      <w:pPr>
        <w:ind w:left="460" w:hanging="460"/>
      </w:pPr>
      <w:rPr>
        <w:rFonts w:ascii="Arial Narrow" w:eastAsia="Calibri" w:hAnsi="Arial Narrow" w:cs="Calibri" w:hint="default"/>
        <w:b/>
        <w:color w:val="000000"/>
        <w:sz w:val="18"/>
      </w:rPr>
    </w:lvl>
    <w:lvl w:ilvl="2">
      <w:start w:val="1"/>
      <w:numFmt w:val="decimal"/>
      <w:isLgl/>
      <w:lvlText w:val="%1.%2.%3"/>
      <w:lvlJc w:val="left"/>
      <w:pPr>
        <w:ind w:left="720" w:hanging="720"/>
      </w:pPr>
      <w:rPr>
        <w:rFonts w:ascii="Arial Narrow" w:eastAsia="Calibri" w:hAnsi="Arial Narrow" w:cs="Calibri" w:hint="default"/>
        <w:b/>
        <w:color w:val="000000"/>
        <w:sz w:val="18"/>
      </w:rPr>
    </w:lvl>
    <w:lvl w:ilvl="3">
      <w:start w:val="2"/>
      <w:numFmt w:val="decimal"/>
      <w:isLgl/>
      <w:lvlText w:val="%1.%2.%3.%4"/>
      <w:lvlJc w:val="left"/>
      <w:pPr>
        <w:ind w:left="720" w:hanging="720"/>
      </w:pPr>
      <w:rPr>
        <w:rFonts w:ascii="Arial Narrow" w:eastAsia="Calibri" w:hAnsi="Arial Narrow" w:cs="Calibri" w:hint="default"/>
        <w:b/>
        <w:color w:val="000000"/>
        <w:sz w:val="18"/>
      </w:rPr>
    </w:lvl>
    <w:lvl w:ilvl="4">
      <w:start w:val="1"/>
      <w:numFmt w:val="decimal"/>
      <w:isLgl/>
      <w:lvlText w:val="%1.%2.%3.%4.%5"/>
      <w:lvlJc w:val="left"/>
      <w:pPr>
        <w:ind w:left="1080" w:hanging="1080"/>
      </w:pPr>
      <w:rPr>
        <w:rFonts w:ascii="Arial Narrow" w:eastAsia="Calibri" w:hAnsi="Arial Narrow" w:cs="Calibri" w:hint="default"/>
        <w:b/>
        <w:color w:val="000000"/>
        <w:sz w:val="18"/>
      </w:rPr>
    </w:lvl>
    <w:lvl w:ilvl="5">
      <w:start w:val="1"/>
      <w:numFmt w:val="decimal"/>
      <w:isLgl/>
      <w:lvlText w:val="%1.%2.%3.%4.%5.%6"/>
      <w:lvlJc w:val="left"/>
      <w:pPr>
        <w:ind w:left="1080" w:hanging="1080"/>
      </w:pPr>
      <w:rPr>
        <w:rFonts w:ascii="Arial Narrow" w:eastAsia="Calibri" w:hAnsi="Arial Narrow" w:cs="Calibri" w:hint="default"/>
        <w:b/>
        <w:color w:val="000000"/>
        <w:sz w:val="18"/>
      </w:rPr>
    </w:lvl>
    <w:lvl w:ilvl="6">
      <w:start w:val="1"/>
      <w:numFmt w:val="decimal"/>
      <w:isLgl/>
      <w:lvlText w:val="%1.%2.%3.%4.%5.%6.%7"/>
      <w:lvlJc w:val="left"/>
      <w:pPr>
        <w:ind w:left="1440" w:hanging="1440"/>
      </w:pPr>
      <w:rPr>
        <w:rFonts w:ascii="Arial Narrow" w:eastAsia="Calibri" w:hAnsi="Arial Narrow" w:cs="Calibri" w:hint="default"/>
        <w:b/>
        <w:color w:val="000000"/>
        <w:sz w:val="18"/>
      </w:rPr>
    </w:lvl>
    <w:lvl w:ilvl="7">
      <w:start w:val="1"/>
      <w:numFmt w:val="decimal"/>
      <w:isLgl/>
      <w:lvlText w:val="%1.%2.%3.%4.%5.%6.%7.%8"/>
      <w:lvlJc w:val="left"/>
      <w:pPr>
        <w:ind w:left="1440" w:hanging="1440"/>
      </w:pPr>
      <w:rPr>
        <w:rFonts w:ascii="Arial Narrow" w:eastAsia="Calibri" w:hAnsi="Arial Narrow" w:cs="Calibri" w:hint="default"/>
        <w:b/>
        <w:color w:val="000000"/>
        <w:sz w:val="18"/>
      </w:rPr>
    </w:lvl>
    <w:lvl w:ilvl="8">
      <w:start w:val="1"/>
      <w:numFmt w:val="decimal"/>
      <w:isLgl/>
      <w:lvlText w:val="%1.%2.%3.%4.%5.%6.%7.%8.%9"/>
      <w:lvlJc w:val="left"/>
      <w:pPr>
        <w:ind w:left="1800" w:hanging="1800"/>
      </w:pPr>
      <w:rPr>
        <w:rFonts w:ascii="Arial Narrow" w:eastAsia="Calibri" w:hAnsi="Arial Narrow" w:cs="Calibri" w:hint="default"/>
        <w:b/>
        <w:color w:val="000000"/>
        <w:sz w:val="18"/>
      </w:rPr>
    </w:lvl>
  </w:abstractNum>
  <w:abstractNum w:abstractNumId="15" w15:restartNumberingAfterBreak="0">
    <w:nsid w:val="4A6426DC"/>
    <w:multiLevelType w:val="hybridMultilevel"/>
    <w:tmpl w:val="5F12B30E"/>
    <w:lvl w:ilvl="0" w:tplc="E9F05BC8">
      <w:start w:val="90"/>
      <w:numFmt w:val="bullet"/>
      <w:lvlText w:val="-"/>
      <w:lvlJc w:val="left"/>
      <w:pPr>
        <w:ind w:left="720" w:hanging="360"/>
      </w:pPr>
      <w:rPr>
        <w:rFonts w:ascii="Arial Narrow" w:eastAsia="Times New Roman" w:hAnsi="Arial Narrow"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A90204"/>
    <w:multiLevelType w:val="hybridMultilevel"/>
    <w:tmpl w:val="ABA8D5AA"/>
    <w:lvl w:ilvl="0" w:tplc="47BC56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B148D3"/>
    <w:multiLevelType w:val="hybridMultilevel"/>
    <w:tmpl w:val="D7485C72"/>
    <w:lvl w:ilvl="0" w:tplc="5526F35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765084"/>
    <w:multiLevelType w:val="hybridMultilevel"/>
    <w:tmpl w:val="B450F1AC"/>
    <w:lvl w:ilvl="0" w:tplc="E9F05BC8">
      <w:start w:val="90"/>
      <w:numFmt w:val="bullet"/>
      <w:lvlText w:val="-"/>
      <w:lvlJc w:val="left"/>
      <w:pPr>
        <w:ind w:left="720" w:hanging="360"/>
      </w:pPr>
      <w:rPr>
        <w:rFonts w:ascii="Arial Narrow" w:eastAsia="Times New Roman" w:hAnsi="Arial Narrow"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A00778D"/>
    <w:multiLevelType w:val="hybridMultilevel"/>
    <w:tmpl w:val="81AC4116"/>
    <w:lvl w:ilvl="0" w:tplc="0809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5D820546"/>
    <w:multiLevelType w:val="hybridMultilevel"/>
    <w:tmpl w:val="AA843D92"/>
    <w:lvl w:ilvl="0" w:tplc="81D68A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05398D"/>
    <w:multiLevelType w:val="hybridMultilevel"/>
    <w:tmpl w:val="2A5C778E"/>
    <w:lvl w:ilvl="0" w:tplc="4ED2364C">
      <w:start w:val="2"/>
      <w:numFmt w:val="bullet"/>
      <w:lvlText w:val="-"/>
      <w:lvlJc w:val="left"/>
      <w:pPr>
        <w:ind w:left="720" w:hanging="360"/>
      </w:pPr>
      <w:rPr>
        <w:rFonts w:ascii="Calibri" w:eastAsia="Calibri" w:hAnsi="Calibri" w:cs="Calibr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110134"/>
    <w:multiLevelType w:val="hybridMultilevel"/>
    <w:tmpl w:val="8DE27A66"/>
    <w:lvl w:ilvl="0" w:tplc="4ED2364C">
      <w:start w:val="2"/>
      <w:numFmt w:val="bullet"/>
      <w:lvlText w:val="-"/>
      <w:lvlJc w:val="left"/>
      <w:pPr>
        <w:ind w:left="720" w:hanging="360"/>
      </w:pPr>
      <w:rPr>
        <w:rFonts w:ascii="Calibri" w:eastAsia="Calibri" w:hAnsi="Calibri" w:cs="Calibr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524C02"/>
    <w:multiLevelType w:val="hybridMultilevel"/>
    <w:tmpl w:val="0D420072"/>
    <w:lvl w:ilvl="0" w:tplc="C6F42CC4">
      <w:numFmt w:val="bullet"/>
      <w:lvlText w:val="-"/>
      <w:lvlJc w:val="left"/>
      <w:pPr>
        <w:ind w:left="720" w:hanging="360"/>
      </w:pPr>
      <w:rPr>
        <w:rFonts w:ascii="Calibri" w:eastAsiaTheme="minorHAnsi" w:hAnsi="Calibri"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0933A19"/>
    <w:multiLevelType w:val="hybridMultilevel"/>
    <w:tmpl w:val="EBF0E544"/>
    <w:lvl w:ilvl="0" w:tplc="74D6CB18">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011D1B"/>
    <w:multiLevelType w:val="hybridMultilevel"/>
    <w:tmpl w:val="065EC140"/>
    <w:lvl w:ilvl="0" w:tplc="C9C4126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1553E06"/>
    <w:multiLevelType w:val="hybridMultilevel"/>
    <w:tmpl w:val="530437C2"/>
    <w:lvl w:ilvl="0" w:tplc="409ACF1A">
      <w:numFmt w:val="bullet"/>
      <w:lvlText w:val="-"/>
      <w:lvlJc w:val="left"/>
      <w:pPr>
        <w:ind w:left="644" w:hanging="360"/>
      </w:pPr>
      <w:rPr>
        <w:rFonts w:ascii="Calibri" w:eastAsia="Calibr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615E1E40"/>
    <w:multiLevelType w:val="hybridMultilevel"/>
    <w:tmpl w:val="4F000C70"/>
    <w:lvl w:ilvl="0" w:tplc="04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B57531"/>
    <w:multiLevelType w:val="hybridMultilevel"/>
    <w:tmpl w:val="A5DED35E"/>
    <w:lvl w:ilvl="0" w:tplc="A210CDE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655C5117"/>
    <w:multiLevelType w:val="hybridMultilevel"/>
    <w:tmpl w:val="3B8256C4"/>
    <w:lvl w:ilvl="0" w:tplc="183E591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662CDF"/>
    <w:multiLevelType w:val="hybridMultilevel"/>
    <w:tmpl w:val="F716900E"/>
    <w:lvl w:ilvl="0" w:tplc="9062759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983028C"/>
    <w:multiLevelType w:val="hybridMultilevel"/>
    <w:tmpl w:val="B818EDA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C92AD9"/>
    <w:multiLevelType w:val="hybridMultilevel"/>
    <w:tmpl w:val="EF0AE616"/>
    <w:lvl w:ilvl="0" w:tplc="31D29D3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073C02"/>
    <w:multiLevelType w:val="hybridMultilevel"/>
    <w:tmpl w:val="F5660F2C"/>
    <w:lvl w:ilvl="0" w:tplc="F7A06A8C">
      <w:numFmt w:val="bullet"/>
      <w:lvlText w:val="-"/>
      <w:lvlJc w:val="left"/>
      <w:pPr>
        <w:ind w:left="720" w:hanging="360"/>
      </w:pPr>
      <w:rPr>
        <w:rFonts w:ascii="Arial Narrow" w:eastAsia="Times New Roman"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1B62973"/>
    <w:multiLevelType w:val="hybridMultilevel"/>
    <w:tmpl w:val="AFCE1C88"/>
    <w:lvl w:ilvl="0" w:tplc="409ACF1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6B3EDB"/>
    <w:multiLevelType w:val="hybridMultilevel"/>
    <w:tmpl w:val="7F3EF8E6"/>
    <w:lvl w:ilvl="0" w:tplc="409ACF1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2C561B"/>
    <w:multiLevelType w:val="hybridMultilevel"/>
    <w:tmpl w:val="05A6207A"/>
    <w:lvl w:ilvl="0" w:tplc="C6F42CC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0722426">
    <w:abstractNumId w:val="25"/>
  </w:num>
  <w:num w:numId="2" w16cid:durableId="653097935">
    <w:abstractNumId w:val="14"/>
  </w:num>
  <w:num w:numId="3" w16cid:durableId="560599503">
    <w:abstractNumId w:val="0"/>
  </w:num>
  <w:num w:numId="4" w16cid:durableId="720640744">
    <w:abstractNumId w:val="35"/>
  </w:num>
  <w:num w:numId="5" w16cid:durableId="1222642990">
    <w:abstractNumId w:val="26"/>
  </w:num>
  <w:num w:numId="6" w16cid:durableId="1575434292">
    <w:abstractNumId w:val="4"/>
  </w:num>
  <w:num w:numId="7" w16cid:durableId="224024575">
    <w:abstractNumId w:val="31"/>
  </w:num>
  <w:num w:numId="8" w16cid:durableId="841551668">
    <w:abstractNumId w:val="36"/>
  </w:num>
  <w:num w:numId="9" w16cid:durableId="439447447">
    <w:abstractNumId w:val="32"/>
  </w:num>
  <w:num w:numId="10" w16cid:durableId="869607948">
    <w:abstractNumId w:val="23"/>
  </w:num>
  <w:num w:numId="11" w16cid:durableId="2133282964">
    <w:abstractNumId w:val="13"/>
  </w:num>
  <w:num w:numId="12" w16cid:durableId="1544053324">
    <w:abstractNumId w:val="9"/>
  </w:num>
  <w:num w:numId="13" w16cid:durableId="1300572663">
    <w:abstractNumId w:val="6"/>
  </w:num>
  <w:num w:numId="14" w16cid:durableId="1307320352">
    <w:abstractNumId w:val="33"/>
  </w:num>
  <w:num w:numId="15" w16cid:durableId="103044188">
    <w:abstractNumId w:val="29"/>
  </w:num>
  <w:num w:numId="16" w16cid:durableId="378633475">
    <w:abstractNumId w:val="18"/>
  </w:num>
  <w:num w:numId="17" w16cid:durableId="511798920">
    <w:abstractNumId w:val="19"/>
  </w:num>
  <w:num w:numId="18" w16cid:durableId="1151871289">
    <w:abstractNumId w:val="3"/>
  </w:num>
  <w:num w:numId="19" w16cid:durableId="2063820410">
    <w:abstractNumId w:val="20"/>
  </w:num>
  <w:num w:numId="20" w16cid:durableId="2069526589">
    <w:abstractNumId w:val="30"/>
  </w:num>
  <w:num w:numId="21" w16cid:durableId="2045981767">
    <w:abstractNumId w:val="28"/>
  </w:num>
  <w:num w:numId="22" w16cid:durableId="1551306674">
    <w:abstractNumId w:val="17"/>
  </w:num>
  <w:num w:numId="23" w16cid:durableId="719551618">
    <w:abstractNumId w:val="5"/>
  </w:num>
  <w:num w:numId="24" w16cid:durableId="1102145851">
    <w:abstractNumId w:val="8"/>
  </w:num>
  <w:num w:numId="25" w16cid:durableId="1639725085">
    <w:abstractNumId w:val="11"/>
  </w:num>
  <w:num w:numId="26" w16cid:durableId="983047149">
    <w:abstractNumId w:val="16"/>
  </w:num>
  <w:num w:numId="27" w16cid:durableId="1960839233">
    <w:abstractNumId w:val="15"/>
  </w:num>
  <w:num w:numId="28" w16cid:durableId="1029070350">
    <w:abstractNumId w:val="10"/>
  </w:num>
  <w:num w:numId="29" w16cid:durableId="504708852">
    <w:abstractNumId w:val="27"/>
  </w:num>
  <w:num w:numId="30" w16cid:durableId="171654630">
    <w:abstractNumId w:val="7"/>
  </w:num>
  <w:num w:numId="31" w16cid:durableId="1482698842">
    <w:abstractNumId w:val="34"/>
  </w:num>
  <w:num w:numId="32" w16cid:durableId="2124497576">
    <w:abstractNumId w:val="12"/>
  </w:num>
  <w:num w:numId="33" w16cid:durableId="13729252">
    <w:abstractNumId w:val="24"/>
  </w:num>
  <w:num w:numId="34" w16cid:durableId="200098115">
    <w:abstractNumId w:val="2"/>
  </w:num>
  <w:num w:numId="35" w16cid:durableId="1756397043">
    <w:abstractNumId w:val="21"/>
  </w:num>
  <w:num w:numId="36" w16cid:durableId="2103531094">
    <w:abstractNumId w:val="22"/>
  </w:num>
  <w:num w:numId="37" w16cid:durableId="46415601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22AD"/>
    <w:rsid w:val="000015BA"/>
    <w:rsid w:val="00001E55"/>
    <w:rsid w:val="00004DBB"/>
    <w:rsid w:val="00007548"/>
    <w:rsid w:val="00007B86"/>
    <w:rsid w:val="0001381A"/>
    <w:rsid w:val="000141FC"/>
    <w:rsid w:val="00022BBA"/>
    <w:rsid w:val="000304C6"/>
    <w:rsid w:val="0003078A"/>
    <w:rsid w:val="00030EE4"/>
    <w:rsid w:val="000310A5"/>
    <w:rsid w:val="00032E20"/>
    <w:rsid w:val="00033123"/>
    <w:rsid w:val="00033D4A"/>
    <w:rsid w:val="00034A97"/>
    <w:rsid w:val="00035022"/>
    <w:rsid w:val="0003701E"/>
    <w:rsid w:val="0003771E"/>
    <w:rsid w:val="00037B49"/>
    <w:rsid w:val="000415F8"/>
    <w:rsid w:val="000434AC"/>
    <w:rsid w:val="00047378"/>
    <w:rsid w:val="00056D8A"/>
    <w:rsid w:val="00062DFA"/>
    <w:rsid w:val="000674E6"/>
    <w:rsid w:val="00070C03"/>
    <w:rsid w:val="0007152E"/>
    <w:rsid w:val="00071E93"/>
    <w:rsid w:val="00074390"/>
    <w:rsid w:val="00075705"/>
    <w:rsid w:val="0007733E"/>
    <w:rsid w:val="00081A3B"/>
    <w:rsid w:val="00092EF2"/>
    <w:rsid w:val="000A07AF"/>
    <w:rsid w:val="000A11E6"/>
    <w:rsid w:val="000A1885"/>
    <w:rsid w:val="000A2C17"/>
    <w:rsid w:val="000A5FA4"/>
    <w:rsid w:val="000A7AA1"/>
    <w:rsid w:val="000B3B91"/>
    <w:rsid w:val="000B46B6"/>
    <w:rsid w:val="000B707C"/>
    <w:rsid w:val="000B7C82"/>
    <w:rsid w:val="000C2EB9"/>
    <w:rsid w:val="000C6648"/>
    <w:rsid w:val="000D3383"/>
    <w:rsid w:val="000E0A2D"/>
    <w:rsid w:val="000E0ED9"/>
    <w:rsid w:val="000E25A5"/>
    <w:rsid w:val="000E2AFE"/>
    <w:rsid w:val="000E3F02"/>
    <w:rsid w:val="000E5A41"/>
    <w:rsid w:val="000F271E"/>
    <w:rsid w:val="000F7719"/>
    <w:rsid w:val="00100012"/>
    <w:rsid w:val="0010040F"/>
    <w:rsid w:val="00102E2B"/>
    <w:rsid w:val="0010528E"/>
    <w:rsid w:val="00105A88"/>
    <w:rsid w:val="001064FF"/>
    <w:rsid w:val="0010744D"/>
    <w:rsid w:val="00112C29"/>
    <w:rsid w:val="001132DB"/>
    <w:rsid w:val="00113969"/>
    <w:rsid w:val="001141F9"/>
    <w:rsid w:val="0011422B"/>
    <w:rsid w:val="00116C1F"/>
    <w:rsid w:val="001205AB"/>
    <w:rsid w:val="00124BCA"/>
    <w:rsid w:val="0013064C"/>
    <w:rsid w:val="0013079E"/>
    <w:rsid w:val="00133221"/>
    <w:rsid w:val="00135A29"/>
    <w:rsid w:val="00135BB1"/>
    <w:rsid w:val="00137393"/>
    <w:rsid w:val="001409D2"/>
    <w:rsid w:val="00140DDA"/>
    <w:rsid w:val="00144DBF"/>
    <w:rsid w:val="0014503B"/>
    <w:rsid w:val="0015312B"/>
    <w:rsid w:val="00154C22"/>
    <w:rsid w:val="001551A6"/>
    <w:rsid w:val="0015616F"/>
    <w:rsid w:val="001573B2"/>
    <w:rsid w:val="00162DC6"/>
    <w:rsid w:val="001639D3"/>
    <w:rsid w:val="00165877"/>
    <w:rsid w:val="001665EE"/>
    <w:rsid w:val="00166AE1"/>
    <w:rsid w:val="001749DF"/>
    <w:rsid w:val="00176794"/>
    <w:rsid w:val="00186CE1"/>
    <w:rsid w:val="0019669D"/>
    <w:rsid w:val="001A040C"/>
    <w:rsid w:val="001A2091"/>
    <w:rsid w:val="001A24AF"/>
    <w:rsid w:val="001A26A2"/>
    <w:rsid w:val="001A7C7D"/>
    <w:rsid w:val="001B0DD4"/>
    <w:rsid w:val="001B19E1"/>
    <w:rsid w:val="001B1FB2"/>
    <w:rsid w:val="001B22F7"/>
    <w:rsid w:val="001B5E5F"/>
    <w:rsid w:val="001B67A8"/>
    <w:rsid w:val="001B7067"/>
    <w:rsid w:val="001C7D06"/>
    <w:rsid w:val="001D3E07"/>
    <w:rsid w:val="001E0062"/>
    <w:rsid w:val="001E0278"/>
    <w:rsid w:val="001E3342"/>
    <w:rsid w:val="001E3543"/>
    <w:rsid w:val="001E46C4"/>
    <w:rsid w:val="001E713E"/>
    <w:rsid w:val="001F0B12"/>
    <w:rsid w:val="001F0DB1"/>
    <w:rsid w:val="002010E8"/>
    <w:rsid w:val="0020157E"/>
    <w:rsid w:val="00203757"/>
    <w:rsid w:val="00203DC3"/>
    <w:rsid w:val="0021064F"/>
    <w:rsid w:val="002113C5"/>
    <w:rsid w:val="00213387"/>
    <w:rsid w:val="00214FA3"/>
    <w:rsid w:val="00215F7A"/>
    <w:rsid w:val="002362B4"/>
    <w:rsid w:val="0024018A"/>
    <w:rsid w:val="0024214B"/>
    <w:rsid w:val="0024313A"/>
    <w:rsid w:val="00244A08"/>
    <w:rsid w:val="00246AF9"/>
    <w:rsid w:val="00256E5A"/>
    <w:rsid w:val="00261CCA"/>
    <w:rsid w:val="00262962"/>
    <w:rsid w:val="002639AF"/>
    <w:rsid w:val="00265097"/>
    <w:rsid w:val="002677D4"/>
    <w:rsid w:val="00273FE0"/>
    <w:rsid w:val="002772D9"/>
    <w:rsid w:val="00277C87"/>
    <w:rsid w:val="0028059B"/>
    <w:rsid w:val="0028186A"/>
    <w:rsid w:val="00282311"/>
    <w:rsid w:val="002862BF"/>
    <w:rsid w:val="002864ED"/>
    <w:rsid w:val="002910FC"/>
    <w:rsid w:val="002924A7"/>
    <w:rsid w:val="00292ED2"/>
    <w:rsid w:val="00296697"/>
    <w:rsid w:val="002A1E9E"/>
    <w:rsid w:val="002A27BC"/>
    <w:rsid w:val="002A40F9"/>
    <w:rsid w:val="002B1899"/>
    <w:rsid w:val="002B3658"/>
    <w:rsid w:val="002C4E23"/>
    <w:rsid w:val="002C5488"/>
    <w:rsid w:val="002C79D7"/>
    <w:rsid w:val="002D00D4"/>
    <w:rsid w:val="002D2B72"/>
    <w:rsid w:val="002D42AA"/>
    <w:rsid w:val="002D56FF"/>
    <w:rsid w:val="002D6516"/>
    <w:rsid w:val="002E42AD"/>
    <w:rsid w:val="002F09D2"/>
    <w:rsid w:val="002F0B87"/>
    <w:rsid w:val="002F53F5"/>
    <w:rsid w:val="00303070"/>
    <w:rsid w:val="0030373C"/>
    <w:rsid w:val="00303F53"/>
    <w:rsid w:val="00304A36"/>
    <w:rsid w:val="0030738F"/>
    <w:rsid w:val="00307AFE"/>
    <w:rsid w:val="00312256"/>
    <w:rsid w:val="00314BA6"/>
    <w:rsid w:val="00315114"/>
    <w:rsid w:val="00315AA7"/>
    <w:rsid w:val="003170AD"/>
    <w:rsid w:val="00326AE3"/>
    <w:rsid w:val="00331D96"/>
    <w:rsid w:val="00331DFA"/>
    <w:rsid w:val="0033776B"/>
    <w:rsid w:val="00337DBD"/>
    <w:rsid w:val="003409C9"/>
    <w:rsid w:val="00342DB8"/>
    <w:rsid w:val="00343C15"/>
    <w:rsid w:val="00345E1B"/>
    <w:rsid w:val="00347EA6"/>
    <w:rsid w:val="00351935"/>
    <w:rsid w:val="00351995"/>
    <w:rsid w:val="003522B7"/>
    <w:rsid w:val="00356208"/>
    <w:rsid w:val="00356216"/>
    <w:rsid w:val="00356A97"/>
    <w:rsid w:val="00357806"/>
    <w:rsid w:val="003606AD"/>
    <w:rsid w:val="00360CE4"/>
    <w:rsid w:val="0036281C"/>
    <w:rsid w:val="00362D0E"/>
    <w:rsid w:val="00370E3D"/>
    <w:rsid w:val="003759B5"/>
    <w:rsid w:val="00376BEA"/>
    <w:rsid w:val="00382117"/>
    <w:rsid w:val="0038308A"/>
    <w:rsid w:val="00385CEE"/>
    <w:rsid w:val="00387C4F"/>
    <w:rsid w:val="00390A60"/>
    <w:rsid w:val="003911ED"/>
    <w:rsid w:val="00396487"/>
    <w:rsid w:val="00397675"/>
    <w:rsid w:val="003A0AB4"/>
    <w:rsid w:val="003A233D"/>
    <w:rsid w:val="003A384B"/>
    <w:rsid w:val="003A3C00"/>
    <w:rsid w:val="003A4B92"/>
    <w:rsid w:val="003A5D5E"/>
    <w:rsid w:val="003A6280"/>
    <w:rsid w:val="003A73B5"/>
    <w:rsid w:val="003B0967"/>
    <w:rsid w:val="003B600B"/>
    <w:rsid w:val="003C0734"/>
    <w:rsid w:val="003C09C2"/>
    <w:rsid w:val="003C0DC7"/>
    <w:rsid w:val="003C3D7B"/>
    <w:rsid w:val="003C4190"/>
    <w:rsid w:val="003C4E2B"/>
    <w:rsid w:val="003C6FC9"/>
    <w:rsid w:val="003D029C"/>
    <w:rsid w:val="003D10F5"/>
    <w:rsid w:val="003D1F5B"/>
    <w:rsid w:val="003D3C9A"/>
    <w:rsid w:val="003D4C83"/>
    <w:rsid w:val="003D4CFE"/>
    <w:rsid w:val="003D7208"/>
    <w:rsid w:val="003D7450"/>
    <w:rsid w:val="003E4F33"/>
    <w:rsid w:val="003E710F"/>
    <w:rsid w:val="003E71F1"/>
    <w:rsid w:val="003F652D"/>
    <w:rsid w:val="00400BE2"/>
    <w:rsid w:val="0040240E"/>
    <w:rsid w:val="00402B37"/>
    <w:rsid w:val="00402C2E"/>
    <w:rsid w:val="00406BE8"/>
    <w:rsid w:val="00407B7B"/>
    <w:rsid w:val="004114F8"/>
    <w:rsid w:val="004129D0"/>
    <w:rsid w:val="00417260"/>
    <w:rsid w:val="00417B45"/>
    <w:rsid w:val="00425368"/>
    <w:rsid w:val="00427360"/>
    <w:rsid w:val="0043090F"/>
    <w:rsid w:val="00432F72"/>
    <w:rsid w:val="004359F5"/>
    <w:rsid w:val="0044011E"/>
    <w:rsid w:val="00440C7A"/>
    <w:rsid w:val="00443730"/>
    <w:rsid w:val="00452794"/>
    <w:rsid w:val="00455392"/>
    <w:rsid w:val="004608BF"/>
    <w:rsid w:val="00462490"/>
    <w:rsid w:val="0047170F"/>
    <w:rsid w:val="0047304E"/>
    <w:rsid w:val="00477072"/>
    <w:rsid w:val="00483CD2"/>
    <w:rsid w:val="00485AAC"/>
    <w:rsid w:val="00486970"/>
    <w:rsid w:val="00494D0D"/>
    <w:rsid w:val="004A0C4C"/>
    <w:rsid w:val="004A1822"/>
    <w:rsid w:val="004A3404"/>
    <w:rsid w:val="004A5EF6"/>
    <w:rsid w:val="004A6DA8"/>
    <w:rsid w:val="004A77C4"/>
    <w:rsid w:val="004B027E"/>
    <w:rsid w:val="004B0836"/>
    <w:rsid w:val="004B0892"/>
    <w:rsid w:val="004B0B0A"/>
    <w:rsid w:val="004B218F"/>
    <w:rsid w:val="004B2A38"/>
    <w:rsid w:val="004B2EF2"/>
    <w:rsid w:val="004B42E3"/>
    <w:rsid w:val="004B4C50"/>
    <w:rsid w:val="004C05BB"/>
    <w:rsid w:val="004C25C1"/>
    <w:rsid w:val="004C275C"/>
    <w:rsid w:val="004C33D9"/>
    <w:rsid w:val="004D30E8"/>
    <w:rsid w:val="004E17C1"/>
    <w:rsid w:val="004E2048"/>
    <w:rsid w:val="004E321A"/>
    <w:rsid w:val="004E3451"/>
    <w:rsid w:val="004E52B3"/>
    <w:rsid w:val="004E5738"/>
    <w:rsid w:val="004E72C9"/>
    <w:rsid w:val="004F3369"/>
    <w:rsid w:val="004F4845"/>
    <w:rsid w:val="004F5C5B"/>
    <w:rsid w:val="005005EA"/>
    <w:rsid w:val="00502215"/>
    <w:rsid w:val="00502ECE"/>
    <w:rsid w:val="00504738"/>
    <w:rsid w:val="005056B4"/>
    <w:rsid w:val="005058E4"/>
    <w:rsid w:val="00507075"/>
    <w:rsid w:val="005117DE"/>
    <w:rsid w:val="0051328C"/>
    <w:rsid w:val="00513635"/>
    <w:rsid w:val="00515ABE"/>
    <w:rsid w:val="005165D8"/>
    <w:rsid w:val="0051788B"/>
    <w:rsid w:val="00517A28"/>
    <w:rsid w:val="0052532C"/>
    <w:rsid w:val="00525480"/>
    <w:rsid w:val="0053043E"/>
    <w:rsid w:val="00530FF8"/>
    <w:rsid w:val="00532FBA"/>
    <w:rsid w:val="005336C2"/>
    <w:rsid w:val="00534BA9"/>
    <w:rsid w:val="00537587"/>
    <w:rsid w:val="00544755"/>
    <w:rsid w:val="00547800"/>
    <w:rsid w:val="00555BBD"/>
    <w:rsid w:val="0056126F"/>
    <w:rsid w:val="0056160B"/>
    <w:rsid w:val="00562CFE"/>
    <w:rsid w:val="00565E5F"/>
    <w:rsid w:val="00566A3C"/>
    <w:rsid w:val="00571F45"/>
    <w:rsid w:val="005902E1"/>
    <w:rsid w:val="00590E04"/>
    <w:rsid w:val="005928A7"/>
    <w:rsid w:val="0059654C"/>
    <w:rsid w:val="005969E9"/>
    <w:rsid w:val="005A1341"/>
    <w:rsid w:val="005A1790"/>
    <w:rsid w:val="005A2A29"/>
    <w:rsid w:val="005A33CD"/>
    <w:rsid w:val="005A58F4"/>
    <w:rsid w:val="005B0520"/>
    <w:rsid w:val="005B3C64"/>
    <w:rsid w:val="005B453F"/>
    <w:rsid w:val="005B72F1"/>
    <w:rsid w:val="005B7888"/>
    <w:rsid w:val="005B78DA"/>
    <w:rsid w:val="005C2BC3"/>
    <w:rsid w:val="005C393D"/>
    <w:rsid w:val="005C44F2"/>
    <w:rsid w:val="005C5B11"/>
    <w:rsid w:val="005D10DA"/>
    <w:rsid w:val="005D2B73"/>
    <w:rsid w:val="005D301B"/>
    <w:rsid w:val="005D35C9"/>
    <w:rsid w:val="005D3714"/>
    <w:rsid w:val="005D606C"/>
    <w:rsid w:val="005D798B"/>
    <w:rsid w:val="005E217E"/>
    <w:rsid w:val="005E5DCD"/>
    <w:rsid w:val="005F04A6"/>
    <w:rsid w:val="005F72DC"/>
    <w:rsid w:val="005F76B6"/>
    <w:rsid w:val="0060284D"/>
    <w:rsid w:val="00605B81"/>
    <w:rsid w:val="0061046C"/>
    <w:rsid w:val="00611932"/>
    <w:rsid w:val="006125F8"/>
    <w:rsid w:val="00614A6E"/>
    <w:rsid w:val="00617763"/>
    <w:rsid w:val="00617AC4"/>
    <w:rsid w:val="00620060"/>
    <w:rsid w:val="0062011C"/>
    <w:rsid w:val="00622AAC"/>
    <w:rsid w:val="00625ECB"/>
    <w:rsid w:val="00626E72"/>
    <w:rsid w:val="0063011D"/>
    <w:rsid w:val="006304C3"/>
    <w:rsid w:val="00633D8B"/>
    <w:rsid w:val="0063456E"/>
    <w:rsid w:val="00642DC0"/>
    <w:rsid w:val="00643D15"/>
    <w:rsid w:val="006462E6"/>
    <w:rsid w:val="0065172B"/>
    <w:rsid w:val="006529FE"/>
    <w:rsid w:val="00661732"/>
    <w:rsid w:val="00662240"/>
    <w:rsid w:val="00663985"/>
    <w:rsid w:val="00664447"/>
    <w:rsid w:val="006702CC"/>
    <w:rsid w:val="00671186"/>
    <w:rsid w:val="00671C36"/>
    <w:rsid w:val="00671CDE"/>
    <w:rsid w:val="00672346"/>
    <w:rsid w:val="0067244C"/>
    <w:rsid w:val="006749FE"/>
    <w:rsid w:val="006809BB"/>
    <w:rsid w:val="00682D78"/>
    <w:rsid w:val="00682F6E"/>
    <w:rsid w:val="00683654"/>
    <w:rsid w:val="00683751"/>
    <w:rsid w:val="00683DE6"/>
    <w:rsid w:val="00684252"/>
    <w:rsid w:val="0069472D"/>
    <w:rsid w:val="006972ED"/>
    <w:rsid w:val="006977DF"/>
    <w:rsid w:val="006A0186"/>
    <w:rsid w:val="006A0415"/>
    <w:rsid w:val="006A44C6"/>
    <w:rsid w:val="006A558A"/>
    <w:rsid w:val="006A691B"/>
    <w:rsid w:val="006A7634"/>
    <w:rsid w:val="006B1D32"/>
    <w:rsid w:val="006B361D"/>
    <w:rsid w:val="006B3C20"/>
    <w:rsid w:val="006B4A82"/>
    <w:rsid w:val="006B521A"/>
    <w:rsid w:val="006B5394"/>
    <w:rsid w:val="006B7186"/>
    <w:rsid w:val="006C5D45"/>
    <w:rsid w:val="006D3CB2"/>
    <w:rsid w:val="006D3CC9"/>
    <w:rsid w:val="006D414C"/>
    <w:rsid w:val="006D69F4"/>
    <w:rsid w:val="006D6EA4"/>
    <w:rsid w:val="006D773F"/>
    <w:rsid w:val="006E1ADB"/>
    <w:rsid w:val="006E3BC0"/>
    <w:rsid w:val="006E3C04"/>
    <w:rsid w:val="006E5D36"/>
    <w:rsid w:val="006E5D57"/>
    <w:rsid w:val="006E608C"/>
    <w:rsid w:val="006E6D92"/>
    <w:rsid w:val="006E7FF5"/>
    <w:rsid w:val="006F419A"/>
    <w:rsid w:val="006F49F5"/>
    <w:rsid w:val="00700388"/>
    <w:rsid w:val="00702A2E"/>
    <w:rsid w:val="0070386F"/>
    <w:rsid w:val="0070392A"/>
    <w:rsid w:val="0070531C"/>
    <w:rsid w:val="00705720"/>
    <w:rsid w:val="00705DE0"/>
    <w:rsid w:val="0070720F"/>
    <w:rsid w:val="00711777"/>
    <w:rsid w:val="0071215F"/>
    <w:rsid w:val="00713050"/>
    <w:rsid w:val="00714321"/>
    <w:rsid w:val="007148FE"/>
    <w:rsid w:val="00714B18"/>
    <w:rsid w:val="00715FFF"/>
    <w:rsid w:val="00716DAD"/>
    <w:rsid w:val="0072003D"/>
    <w:rsid w:val="0072160D"/>
    <w:rsid w:val="00721B6C"/>
    <w:rsid w:val="00722194"/>
    <w:rsid w:val="00724013"/>
    <w:rsid w:val="00727CE1"/>
    <w:rsid w:val="007434F3"/>
    <w:rsid w:val="00746639"/>
    <w:rsid w:val="007504D7"/>
    <w:rsid w:val="00753260"/>
    <w:rsid w:val="007536EA"/>
    <w:rsid w:val="00756520"/>
    <w:rsid w:val="00763495"/>
    <w:rsid w:val="00764BEC"/>
    <w:rsid w:val="0077041D"/>
    <w:rsid w:val="0077137A"/>
    <w:rsid w:val="007718C5"/>
    <w:rsid w:val="00773AE6"/>
    <w:rsid w:val="007757A6"/>
    <w:rsid w:val="00775D22"/>
    <w:rsid w:val="0078165D"/>
    <w:rsid w:val="0078514B"/>
    <w:rsid w:val="007866D9"/>
    <w:rsid w:val="0078752D"/>
    <w:rsid w:val="00787ECA"/>
    <w:rsid w:val="00790D64"/>
    <w:rsid w:val="00796D99"/>
    <w:rsid w:val="00796FFE"/>
    <w:rsid w:val="007A026F"/>
    <w:rsid w:val="007A67CD"/>
    <w:rsid w:val="007A6FDD"/>
    <w:rsid w:val="007B0895"/>
    <w:rsid w:val="007B4318"/>
    <w:rsid w:val="007C0B22"/>
    <w:rsid w:val="007C1B50"/>
    <w:rsid w:val="007C4084"/>
    <w:rsid w:val="007C71C9"/>
    <w:rsid w:val="007D1948"/>
    <w:rsid w:val="007D6288"/>
    <w:rsid w:val="007E34CC"/>
    <w:rsid w:val="007E7773"/>
    <w:rsid w:val="007E7963"/>
    <w:rsid w:val="007F2A38"/>
    <w:rsid w:val="007F62CD"/>
    <w:rsid w:val="007F650A"/>
    <w:rsid w:val="008009E5"/>
    <w:rsid w:val="008024D8"/>
    <w:rsid w:val="00804224"/>
    <w:rsid w:val="0080470A"/>
    <w:rsid w:val="00804927"/>
    <w:rsid w:val="0080519A"/>
    <w:rsid w:val="00805E22"/>
    <w:rsid w:val="00827B8B"/>
    <w:rsid w:val="008345F3"/>
    <w:rsid w:val="008365B5"/>
    <w:rsid w:val="00837A0C"/>
    <w:rsid w:val="00845423"/>
    <w:rsid w:val="008456F1"/>
    <w:rsid w:val="00847399"/>
    <w:rsid w:val="00847E39"/>
    <w:rsid w:val="008507AB"/>
    <w:rsid w:val="00854051"/>
    <w:rsid w:val="0085435D"/>
    <w:rsid w:val="008551A3"/>
    <w:rsid w:val="00855BBE"/>
    <w:rsid w:val="008565D4"/>
    <w:rsid w:val="008619B3"/>
    <w:rsid w:val="00871BAD"/>
    <w:rsid w:val="0087319D"/>
    <w:rsid w:val="0087549B"/>
    <w:rsid w:val="008770F7"/>
    <w:rsid w:val="008969AA"/>
    <w:rsid w:val="00896CC9"/>
    <w:rsid w:val="008A0031"/>
    <w:rsid w:val="008A01D3"/>
    <w:rsid w:val="008A1A8F"/>
    <w:rsid w:val="008A3904"/>
    <w:rsid w:val="008A6977"/>
    <w:rsid w:val="008A76C6"/>
    <w:rsid w:val="008A7A14"/>
    <w:rsid w:val="008B17DE"/>
    <w:rsid w:val="008B3D50"/>
    <w:rsid w:val="008B6575"/>
    <w:rsid w:val="008C0F05"/>
    <w:rsid w:val="008C25BE"/>
    <w:rsid w:val="008C26E2"/>
    <w:rsid w:val="008C315D"/>
    <w:rsid w:val="008C594F"/>
    <w:rsid w:val="008C6500"/>
    <w:rsid w:val="008D091B"/>
    <w:rsid w:val="008D38F8"/>
    <w:rsid w:val="008D61EC"/>
    <w:rsid w:val="008E09B4"/>
    <w:rsid w:val="008E09B5"/>
    <w:rsid w:val="008E179D"/>
    <w:rsid w:val="008E21CF"/>
    <w:rsid w:val="008E224D"/>
    <w:rsid w:val="008E313C"/>
    <w:rsid w:val="008E7DC0"/>
    <w:rsid w:val="008F03EF"/>
    <w:rsid w:val="008F1524"/>
    <w:rsid w:val="008F23D9"/>
    <w:rsid w:val="008F551B"/>
    <w:rsid w:val="008F7591"/>
    <w:rsid w:val="00900F53"/>
    <w:rsid w:val="00902328"/>
    <w:rsid w:val="0090232E"/>
    <w:rsid w:val="009045AC"/>
    <w:rsid w:val="00905A69"/>
    <w:rsid w:val="00907239"/>
    <w:rsid w:val="00907CB6"/>
    <w:rsid w:val="00915BAF"/>
    <w:rsid w:val="009176AB"/>
    <w:rsid w:val="0092359A"/>
    <w:rsid w:val="009240D6"/>
    <w:rsid w:val="0092757B"/>
    <w:rsid w:val="009427D5"/>
    <w:rsid w:val="00946204"/>
    <w:rsid w:val="009468CC"/>
    <w:rsid w:val="0095130E"/>
    <w:rsid w:val="00951F06"/>
    <w:rsid w:val="00960510"/>
    <w:rsid w:val="00963309"/>
    <w:rsid w:val="009664EA"/>
    <w:rsid w:val="009671B4"/>
    <w:rsid w:val="0097308A"/>
    <w:rsid w:val="009743AD"/>
    <w:rsid w:val="0097481C"/>
    <w:rsid w:val="00981133"/>
    <w:rsid w:val="0098167B"/>
    <w:rsid w:val="00981E38"/>
    <w:rsid w:val="0098226C"/>
    <w:rsid w:val="00983304"/>
    <w:rsid w:val="009861F0"/>
    <w:rsid w:val="00991BAE"/>
    <w:rsid w:val="00991C91"/>
    <w:rsid w:val="00994D35"/>
    <w:rsid w:val="00995E35"/>
    <w:rsid w:val="00995F39"/>
    <w:rsid w:val="009965F0"/>
    <w:rsid w:val="009A0271"/>
    <w:rsid w:val="009A56DD"/>
    <w:rsid w:val="009A5884"/>
    <w:rsid w:val="009B270D"/>
    <w:rsid w:val="009B311C"/>
    <w:rsid w:val="009B5892"/>
    <w:rsid w:val="009B7CEF"/>
    <w:rsid w:val="009C65DD"/>
    <w:rsid w:val="009D5E29"/>
    <w:rsid w:val="009E09C0"/>
    <w:rsid w:val="009E0E78"/>
    <w:rsid w:val="009E21D4"/>
    <w:rsid w:val="009E298F"/>
    <w:rsid w:val="009E394C"/>
    <w:rsid w:val="009E429D"/>
    <w:rsid w:val="009F09E8"/>
    <w:rsid w:val="009F3E77"/>
    <w:rsid w:val="009F480C"/>
    <w:rsid w:val="009F4987"/>
    <w:rsid w:val="009F57FA"/>
    <w:rsid w:val="009F739D"/>
    <w:rsid w:val="009F78E3"/>
    <w:rsid w:val="00A02F2E"/>
    <w:rsid w:val="00A04C83"/>
    <w:rsid w:val="00A07656"/>
    <w:rsid w:val="00A07796"/>
    <w:rsid w:val="00A07CDF"/>
    <w:rsid w:val="00A103BF"/>
    <w:rsid w:val="00A12550"/>
    <w:rsid w:val="00A1371B"/>
    <w:rsid w:val="00A1444E"/>
    <w:rsid w:val="00A16633"/>
    <w:rsid w:val="00A246C1"/>
    <w:rsid w:val="00A27ABD"/>
    <w:rsid w:val="00A27F01"/>
    <w:rsid w:val="00A31590"/>
    <w:rsid w:val="00A332E7"/>
    <w:rsid w:val="00A3710C"/>
    <w:rsid w:val="00A41B85"/>
    <w:rsid w:val="00A4413B"/>
    <w:rsid w:val="00A44580"/>
    <w:rsid w:val="00A44ACC"/>
    <w:rsid w:val="00A4750B"/>
    <w:rsid w:val="00A5020F"/>
    <w:rsid w:val="00A504B5"/>
    <w:rsid w:val="00A50B86"/>
    <w:rsid w:val="00A53E12"/>
    <w:rsid w:val="00A54FA3"/>
    <w:rsid w:val="00A5760F"/>
    <w:rsid w:val="00A57A17"/>
    <w:rsid w:val="00A63427"/>
    <w:rsid w:val="00A651D9"/>
    <w:rsid w:val="00A7408F"/>
    <w:rsid w:val="00A740FE"/>
    <w:rsid w:val="00A76944"/>
    <w:rsid w:val="00A76D83"/>
    <w:rsid w:val="00A77E73"/>
    <w:rsid w:val="00A81ED1"/>
    <w:rsid w:val="00A8296F"/>
    <w:rsid w:val="00A83F46"/>
    <w:rsid w:val="00A8472C"/>
    <w:rsid w:val="00A87C75"/>
    <w:rsid w:val="00A9063D"/>
    <w:rsid w:val="00A90932"/>
    <w:rsid w:val="00A9314F"/>
    <w:rsid w:val="00A960D9"/>
    <w:rsid w:val="00A9655F"/>
    <w:rsid w:val="00AA0032"/>
    <w:rsid w:val="00AA2090"/>
    <w:rsid w:val="00AA34A8"/>
    <w:rsid w:val="00AA4BFD"/>
    <w:rsid w:val="00AA6332"/>
    <w:rsid w:val="00AB0495"/>
    <w:rsid w:val="00AB2D2E"/>
    <w:rsid w:val="00AB33E5"/>
    <w:rsid w:val="00AB6702"/>
    <w:rsid w:val="00AB76C3"/>
    <w:rsid w:val="00AC12AE"/>
    <w:rsid w:val="00AC160A"/>
    <w:rsid w:val="00AC20FF"/>
    <w:rsid w:val="00AC2F56"/>
    <w:rsid w:val="00AC4774"/>
    <w:rsid w:val="00AC606A"/>
    <w:rsid w:val="00AC6D31"/>
    <w:rsid w:val="00AC7547"/>
    <w:rsid w:val="00AC7D41"/>
    <w:rsid w:val="00AD015B"/>
    <w:rsid w:val="00AD059B"/>
    <w:rsid w:val="00AD7A8E"/>
    <w:rsid w:val="00AD7AEB"/>
    <w:rsid w:val="00AE0639"/>
    <w:rsid w:val="00AE0F3D"/>
    <w:rsid w:val="00AE2BFD"/>
    <w:rsid w:val="00AE2F86"/>
    <w:rsid w:val="00AE711C"/>
    <w:rsid w:val="00AF0C56"/>
    <w:rsid w:val="00AF591D"/>
    <w:rsid w:val="00AF598D"/>
    <w:rsid w:val="00AF6E6E"/>
    <w:rsid w:val="00B004D9"/>
    <w:rsid w:val="00B01F32"/>
    <w:rsid w:val="00B05150"/>
    <w:rsid w:val="00B05440"/>
    <w:rsid w:val="00B05959"/>
    <w:rsid w:val="00B07E80"/>
    <w:rsid w:val="00B127FB"/>
    <w:rsid w:val="00B12AE6"/>
    <w:rsid w:val="00B12B9F"/>
    <w:rsid w:val="00B178DE"/>
    <w:rsid w:val="00B20286"/>
    <w:rsid w:val="00B20CFB"/>
    <w:rsid w:val="00B21FF9"/>
    <w:rsid w:val="00B2378C"/>
    <w:rsid w:val="00B26784"/>
    <w:rsid w:val="00B322D7"/>
    <w:rsid w:val="00B32BE6"/>
    <w:rsid w:val="00B3435E"/>
    <w:rsid w:val="00B35485"/>
    <w:rsid w:val="00B36E77"/>
    <w:rsid w:val="00B431B1"/>
    <w:rsid w:val="00B45E47"/>
    <w:rsid w:val="00B47C3A"/>
    <w:rsid w:val="00B47E09"/>
    <w:rsid w:val="00B50987"/>
    <w:rsid w:val="00B5101F"/>
    <w:rsid w:val="00B56D13"/>
    <w:rsid w:val="00B62E27"/>
    <w:rsid w:val="00B64DF8"/>
    <w:rsid w:val="00B66B93"/>
    <w:rsid w:val="00B67FF1"/>
    <w:rsid w:val="00B70209"/>
    <w:rsid w:val="00B769C4"/>
    <w:rsid w:val="00B76FE6"/>
    <w:rsid w:val="00B829CF"/>
    <w:rsid w:val="00B9436B"/>
    <w:rsid w:val="00B97150"/>
    <w:rsid w:val="00BA0AF3"/>
    <w:rsid w:val="00BA4E39"/>
    <w:rsid w:val="00BA6126"/>
    <w:rsid w:val="00BB11E0"/>
    <w:rsid w:val="00BB13CA"/>
    <w:rsid w:val="00BB197F"/>
    <w:rsid w:val="00BB1A56"/>
    <w:rsid w:val="00BB5420"/>
    <w:rsid w:val="00BC025F"/>
    <w:rsid w:val="00BC02FB"/>
    <w:rsid w:val="00BC0729"/>
    <w:rsid w:val="00BC1FDA"/>
    <w:rsid w:val="00BC205E"/>
    <w:rsid w:val="00BC3FDF"/>
    <w:rsid w:val="00BD032E"/>
    <w:rsid w:val="00BD2616"/>
    <w:rsid w:val="00BD2917"/>
    <w:rsid w:val="00BD300D"/>
    <w:rsid w:val="00BD4A43"/>
    <w:rsid w:val="00BD4A67"/>
    <w:rsid w:val="00BD503B"/>
    <w:rsid w:val="00BD7A02"/>
    <w:rsid w:val="00BE2DAF"/>
    <w:rsid w:val="00BE4D10"/>
    <w:rsid w:val="00BF2A75"/>
    <w:rsid w:val="00BF2BA0"/>
    <w:rsid w:val="00BF7C86"/>
    <w:rsid w:val="00C01DE0"/>
    <w:rsid w:val="00C01E01"/>
    <w:rsid w:val="00C02B4A"/>
    <w:rsid w:val="00C02C68"/>
    <w:rsid w:val="00C031F5"/>
    <w:rsid w:val="00C12990"/>
    <w:rsid w:val="00C13521"/>
    <w:rsid w:val="00C1364E"/>
    <w:rsid w:val="00C21134"/>
    <w:rsid w:val="00C21ACF"/>
    <w:rsid w:val="00C233A4"/>
    <w:rsid w:val="00C31095"/>
    <w:rsid w:val="00C32582"/>
    <w:rsid w:val="00C34A42"/>
    <w:rsid w:val="00C405C9"/>
    <w:rsid w:val="00C40BF2"/>
    <w:rsid w:val="00C4272C"/>
    <w:rsid w:val="00C436BF"/>
    <w:rsid w:val="00C43D63"/>
    <w:rsid w:val="00C45744"/>
    <w:rsid w:val="00C51729"/>
    <w:rsid w:val="00C54230"/>
    <w:rsid w:val="00C54B59"/>
    <w:rsid w:val="00C54EB5"/>
    <w:rsid w:val="00C573F8"/>
    <w:rsid w:val="00C611C2"/>
    <w:rsid w:val="00C61E94"/>
    <w:rsid w:val="00C65CAC"/>
    <w:rsid w:val="00C66F14"/>
    <w:rsid w:val="00C717F3"/>
    <w:rsid w:val="00C77B63"/>
    <w:rsid w:val="00C826B0"/>
    <w:rsid w:val="00C84D83"/>
    <w:rsid w:val="00C85F12"/>
    <w:rsid w:val="00C87474"/>
    <w:rsid w:val="00C903EA"/>
    <w:rsid w:val="00C9265D"/>
    <w:rsid w:val="00C92F65"/>
    <w:rsid w:val="00C960F4"/>
    <w:rsid w:val="00C974A9"/>
    <w:rsid w:val="00C977C7"/>
    <w:rsid w:val="00CA1228"/>
    <w:rsid w:val="00CA36C0"/>
    <w:rsid w:val="00CA5BA7"/>
    <w:rsid w:val="00CA6090"/>
    <w:rsid w:val="00CB503F"/>
    <w:rsid w:val="00CB71C6"/>
    <w:rsid w:val="00CB72F6"/>
    <w:rsid w:val="00CB7D07"/>
    <w:rsid w:val="00CC06A9"/>
    <w:rsid w:val="00CC13BC"/>
    <w:rsid w:val="00CC3DD6"/>
    <w:rsid w:val="00CC552E"/>
    <w:rsid w:val="00CC5C84"/>
    <w:rsid w:val="00CC79B0"/>
    <w:rsid w:val="00CD069F"/>
    <w:rsid w:val="00CD0D69"/>
    <w:rsid w:val="00CD2E51"/>
    <w:rsid w:val="00CD33B3"/>
    <w:rsid w:val="00CD7762"/>
    <w:rsid w:val="00CE0828"/>
    <w:rsid w:val="00CE4941"/>
    <w:rsid w:val="00CF5D76"/>
    <w:rsid w:val="00CF6351"/>
    <w:rsid w:val="00CF7801"/>
    <w:rsid w:val="00D001C9"/>
    <w:rsid w:val="00D00518"/>
    <w:rsid w:val="00D00CD9"/>
    <w:rsid w:val="00D03991"/>
    <w:rsid w:val="00D04864"/>
    <w:rsid w:val="00D05672"/>
    <w:rsid w:val="00D056B8"/>
    <w:rsid w:val="00D05E30"/>
    <w:rsid w:val="00D0651C"/>
    <w:rsid w:val="00D11B41"/>
    <w:rsid w:val="00D13B0E"/>
    <w:rsid w:val="00D1721E"/>
    <w:rsid w:val="00D24023"/>
    <w:rsid w:val="00D25114"/>
    <w:rsid w:val="00D361CB"/>
    <w:rsid w:val="00D40A83"/>
    <w:rsid w:val="00D41119"/>
    <w:rsid w:val="00D44FEE"/>
    <w:rsid w:val="00D465B5"/>
    <w:rsid w:val="00D46BE0"/>
    <w:rsid w:val="00D471F3"/>
    <w:rsid w:val="00D505BB"/>
    <w:rsid w:val="00D51827"/>
    <w:rsid w:val="00D5388C"/>
    <w:rsid w:val="00D5594F"/>
    <w:rsid w:val="00D63C02"/>
    <w:rsid w:val="00D6610E"/>
    <w:rsid w:val="00D674EC"/>
    <w:rsid w:val="00D67CB8"/>
    <w:rsid w:val="00D71142"/>
    <w:rsid w:val="00D74A0A"/>
    <w:rsid w:val="00D76194"/>
    <w:rsid w:val="00D77378"/>
    <w:rsid w:val="00D77966"/>
    <w:rsid w:val="00D87E1D"/>
    <w:rsid w:val="00D900FB"/>
    <w:rsid w:val="00DA21FE"/>
    <w:rsid w:val="00DA2470"/>
    <w:rsid w:val="00DA4582"/>
    <w:rsid w:val="00DA50A3"/>
    <w:rsid w:val="00DA58A2"/>
    <w:rsid w:val="00DA72DB"/>
    <w:rsid w:val="00DC3852"/>
    <w:rsid w:val="00DC5343"/>
    <w:rsid w:val="00DC5881"/>
    <w:rsid w:val="00DC6AE2"/>
    <w:rsid w:val="00DC753E"/>
    <w:rsid w:val="00DD1B7F"/>
    <w:rsid w:val="00DD3DC6"/>
    <w:rsid w:val="00DD7251"/>
    <w:rsid w:val="00DE20BA"/>
    <w:rsid w:val="00DE268C"/>
    <w:rsid w:val="00DE6C42"/>
    <w:rsid w:val="00DE73A5"/>
    <w:rsid w:val="00DF223A"/>
    <w:rsid w:val="00DF31E6"/>
    <w:rsid w:val="00DF35CE"/>
    <w:rsid w:val="00DF47DF"/>
    <w:rsid w:val="00DF54F2"/>
    <w:rsid w:val="00DF68C4"/>
    <w:rsid w:val="00DF6BFC"/>
    <w:rsid w:val="00E02DED"/>
    <w:rsid w:val="00E043BA"/>
    <w:rsid w:val="00E04E5F"/>
    <w:rsid w:val="00E0566B"/>
    <w:rsid w:val="00E05DE4"/>
    <w:rsid w:val="00E07190"/>
    <w:rsid w:val="00E124F6"/>
    <w:rsid w:val="00E132DB"/>
    <w:rsid w:val="00E16B8D"/>
    <w:rsid w:val="00E17EB8"/>
    <w:rsid w:val="00E237F0"/>
    <w:rsid w:val="00E246ED"/>
    <w:rsid w:val="00E26324"/>
    <w:rsid w:val="00E27E8D"/>
    <w:rsid w:val="00E30F24"/>
    <w:rsid w:val="00E32D46"/>
    <w:rsid w:val="00E36679"/>
    <w:rsid w:val="00E414BE"/>
    <w:rsid w:val="00E44A63"/>
    <w:rsid w:val="00E47F40"/>
    <w:rsid w:val="00E5665C"/>
    <w:rsid w:val="00E63BCE"/>
    <w:rsid w:val="00E65B70"/>
    <w:rsid w:val="00E6784C"/>
    <w:rsid w:val="00E7567B"/>
    <w:rsid w:val="00E77A77"/>
    <w:rsid w:val="00E8046B"/>
    <w:rsid w:val="00E809CD"/>
    <w:rsid w:val="00E8116C"/>
    <w:rsid w:val="00E8352F"/>
    <w:rsid w:val="00E86F8E"/>
    <w:rsid w:val="00E91D9A"/>
    <w:rsid w:val="00E93FDC"/>
    <w:rsid w:val="00E941BC"/>
    <w:rsid w:val="00E9761D"/>
    <w:rsid w:val="00E97E66"/>
    <w:rsid w:val="00EA0C51"/>
    <w:rsid w:val="00EA372C"/>
    <w:rsid w:val="00EA7BEE"/>
    <w:rsid w:val="00EB1360"/>
    <w:rsid w:val="00EB4841"/>
    <w:rsid w:val="00EB7CC1"/>
    <w:rsid w:val="00EC1704"/>
    <w:rsid w:val="00EC22AD"/>
    <w:rsid w:val="00EC25B9"/>
    <w:rsid w:val="00EC35FF"/>
    <w:rsid w:val="00EC5971"/>
    <w:rsid w:val="00EC5C1E"/>
    <w:rsid w:val="00EC62F1"/>
    <w:rsid w:val="00EC6DA6"/>
    <w:rsid w:val="00EC7F53"/>
    <w:rsid w:val="00EE5A50"/>
    <w:rsid w:val="00EE6875"/>
    <w:rsid w:val="00EF5279"/>
    <w:rsid w:val="00EF5F79"/>
    <w:rsid w:val="00EF668B"/>
    <w:rsid w:val="00EF7CEA"/>
    <w:rsid w:val="00F019BC"/>
    <w:rsid w:val="00F01C7F"/>
    <w:rsid w:val="00F04B95"/>
    <w:rsid w:val="00F068C0"/>
    <w:rsid w:val="00F0768D"/>
    <w:rsid w:val="00F07B47"/>
    <w:rsid w:val="00F10348"/>
    <w:rsid w:val="00F11991"/>
    <w:rsid w:val="00F13533"/>
    <w:rsid w:val="00F1463E"/>
    <w:rsid w:val="00F16577"/>
    <w:rsid w:val="00F17E4E"/>
    <w:rsid w:val="00F231E1"/>
    <w:rsid w:val="00F242D0"/>
    <w:rsid w:val="00F3103B"/>
    <w:rsid w:val="00F3204F"/>
    <w:rsid w:val="00F32266"/>
    <w:rsid w:val="00F327AC"/>
    <w:rsid w:val="00F36953"/>
    <w:rsid w:val="00F36D2A"/>
    <w:rsid w:val="00F408C9"/>
    <w:rsid w:val="00F41C32"/>
    <w:rsid w:val="00F44C4F"/>
    <w:rsid w:val="00F460AB"/>
    <w:rsid w:val="00F52E2B"/>
    <w:rsid w:val="00F53E4E"/>
    <w:rsid w:val="00F54108"/>
    <w:rsid w:val="00F630D5"/>
    <w:rsid w:val="00F67191"/>
    <w:rsid w:val="00F70748"/>
    <w:rsid w:val="00F739BF"/>
    <w:rsid w:val="00F75FDA"/>
    <w:rsid w:val="00F806A3"/>
    <w:rsid w:val="00F811C9"/>
    <w:rsid w:val="00F83152"/>
    <w:rsid w:val="00F83938"/>
    <w:rsid w:val="00F83AF6"/>
    <w:rsid w:val="00F841DA"/>
    <w:rsid w:val="00F84E7E"/>
    <w:rsid w:val="00F86B45"/>
    <w:rsid w:val="00F86BEE"/>
    <w:rsid w:val="00F90EF5"/>
    <w:rsid w:val="00F951F7"/>
    <w:rsid w:val="00F95AF7"/>
    <w:rsid w:val="00F979F5"/>
    <w:rsid w:val="00FA3450"/>
    <w:rsid w:val="00FA42D5"/>
    <w:rsid w:val="00FA4ECF"/>
    <w:rsid w:val="00FA6132"/>
    <w:rsid w:val="00FB22E5"/>
    <w:rsid w:val="00FB277E"/>
    <w:rsid w:val="00FB57BF"/>
    <w:rsid w:val="00FC1D27"/>
    <w:rsid w:val="00FC2AA9"/>
    <w:rsid w:val="00FC4111"/>
    <w:rsid w:val="00FC5CCE"/>
    <w:rsid w:val="00FD1146"/>
    <w:rsid w:val="00FD343E"/>
    <w:rsid w:val="00FD402A"/>
    <w:rsid w:val="00FD4AA2"/>
    <w:rsid w:val="00FD67CF"/>
    <w:rsid w:val="00FD7654"/>
    <w:rsid w:val="00FD766B"/>
    <w:rsid w:val="00FE16C7"/>
    <w:rsid w:val="00FE41A3"/>
    <w:rsid w:val="00FE5A29"/>
    <w:rsid w:val="00FE608B"/>
    <w:rsid w:val="00FF002D"/>
    <w:rsid w:val="00FF0864"/>
    <w:rsid w:val="00FF25B3"/>
    <w:rsid w:val="00FF36B7"/>
    <w:rsid w:val="00FF3752"/>
    <w:rsid w:val="00FF4968"/>
    <w:rsid w:val="00FF6E72"/>
    <w:rsid w:val="00FF77B7"/>
    <w:rsid w:val="00FF7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F5A8F"/>
  <w15:docId w15:val="{BBE33C70-0CD2-4DC6-90EE-0531DFC9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2AD"/>
    <w:pPr>
      <w:spacing w:after="200" w:line="276" w:lineRule="auto"/>
    </w:pPr>
    <w:rPr>
      <w:sz w:val="22"/>
      <w:szCs w:val="22"/>
      <w:lang w:val="en-US" w:eastAsia="en-US"/>
    </w:rPr>
  </w:style>
  <w:style w:type="paragraph" w:styleId="Titre1">
    <w:name w:val="heading 1"/>
    <w:basedOn w:val="Normal"/>
    <w:next w:val="Normal"/>
    <w:link w:val="Titre1Car"/>
    <w:uiPriority w:val="9"/>
    <w:qFormat/>
    <w:rsid w:val="00FB277E"/>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val="fr-FR"/>
    </w:rPr>
  </w:style>
  <w:style w:type="paragraph" w:styleId="Titre3">
    <w:name w:val="heading 3"/>
    <w:basedOn w:val="Normal"/>
    <w:next w:val="Normal"/>
    <w:link w:val="Titre3Car"/>
    <w:uiPriority w:val="9"/>
    <w:semiHidden/>
    <w:unhideWhenUsed/>
    <w:qFormat/>
    <w:rsid w:val="00CD77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C2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List Paragraph1,Project Profile name,Paragraphe de liste1,Numbered paragraph,Medium Grid 1 - Accent 21,List Paragraph (numbered (a)),Numbered List Paragraph,References,ReferencesCxSpLast,Table/Figure Heading,En tête 1,Listes,Liste 1"/>
    <w:basedOn w:val="Normal"/>
    <w:link w:val="ParagraphedelisteCar"/>
    <w:uiPriority w:val="34"/>
    <w:qFormat/>
    <w:rsid w:val="00D67CB8"/>
    <w:pPr>
      <w:ind w:left="720"/>
      <w:contextualSpacing/>
    </w:pPr>
  </w:style>
  <w:style w:type="paragraph" w:styleId="Notedebasdepage">
    <w:name w:val="footnote text"/>
    <w:aliases w:val="single space,fn,fn Char,Footnote Text Char Char Char Char,Footnote Text Char Char Char,Footnote Text Char Char,testo pié di pagina,testo pié di pagina Char,Footnote Text Char1,Footnote,FOOTNOTES,Footnote Text Char2 Char,Geneva 9"/>
    <w:basedOn w:val="Normal"/>
    <w:link w:val="NotedebasdepageCar"/>
    <w:unhideWhenUsed/>
    <w:qFormat/>
    <w:rsid w:val="00D67CB8"/>
    <w:pPr>
      <w:spacing w:line="240" w:lineRule="auto"/>
    </w:pPr>
    <w:rPr>
      <w:rFonts w:ascii="Optima" w:eastAsia="Cambria" w:hAnsi="Optima" w:cs="Times New Roman"/>
      <w:sz w:val="20"/>
      <w:szCs w:val="20"/>
    </w:rPr>
  </w:style>
  <w:style w:type="character" w:customStyle="1" w:styleId="NotedebasdepageCar">
    <w:name w:val="Note de bas de page Car"/>
    <w:aliases w:val="single space Car,fn Car,fn Char Car,Footnote Text Char Char Char Char Car,Footnote Text Char Char Char Car,Footnote Text Char Char Car,testo pié di pagina Car,testo pié di pagina Char Car,Footnote Text Char1 Car,Footnote Car"/>
    <w:link w:val="Notedebasdepage"/>
    <w:rsid w:val="00D67CB8"/>
    <w:rPr>
      <w:rFonts w:ascii="Optima" w:eastAsia="Cambria" w:hAnsi="Optima" w:cs="Times New Roman"/>
      <w:sz w:val="20"/>
      <w:szCs w:val="20"/>
    </w:rPr>
  </w:style>
  <w:style w:type="character" w:styleId="Appelnotedebasdep">
    <w:name w:val="footnote reference"/>
    <w:aliases w:val="ftref,Fußnotenzeichen_Raxen,note bp,16 Point,Superscript 6 Point,Superscript 6 Point + 11 pt,Footnote Reference Number,SUPERS,SUPERS1,SUPERS2,SUPERS3,BVI fnr,BVI fnr Car Car,BVI fnr Car,BVI fnr Car Car Car Car,f1"/>
    <w:link w:val="CharCharCharCharCarChar"/>
    <w:uiPriority w:val="99"/>
    <w:unhideWhenUsed/>
    <w:qFormat/>
    <w:rsid w:val="00D67CB8"/>
    <w:rPr>
      <w:vertAlign w:val="superscript"/>
    </w:rPr>
  </w:style>
  <w:style w:type="paragraph" w:styleId="En-tte">
    <w:name w:val="header"/>
    <w:basedOn w:val="Normal"/>
    <w:link w:val="En-tteCar"/>
    <w:uiPriority w:val="99"/>
    <w:unhideWhenUsed/>
    <w:rsid w:val="000415F8"/>
    <w:pPr>
      <w:tabs>
        <w:tab w:val="center" w:pos="4680"/>
        <w:tab w:val="right" w:pos="9360"/>
      </w:tabs>
      <w:spacing w:after="0" w:line="240" w:lineRule="auto"/>
    </w:pPr>
  </w:style>
  <w:style w:type="character" w:customStyle="1" w:styleId="En-tteCar">
    <w:name w:val="En-tête Car"/>
    <w:link w:val="En-tte"/>
    <w:uiPriority w:val="99"/>
    <w:rsid w:val="000415F8"/>
    <w:rPr>
      <w:rFonts w:ascii="Calibri" w:eastAsia="Calibri" w:hAnsi="Calibri" w:cs="Arial"/>
    </w:rPr>
  </w:style>
  <w:style w:type="paragraph" w:styleId="Pieddepage">
    <w:name w:val="footer"/>
    <w:basedOn w:val="Normal"/>
    <w:link w:val="PieddepageCar"/>
    <w:uiPriority w:val="99"/>
    <w:unhideWhenUsed/>
    <w:rsid w:val="000415F8"/>
    <w:pPr>
      <w:tabs>
        <w:tab w:val="center" w:pos="4680"/>
        <w:tab w:val="right" w:pos="9360"/>
      </w:tabs>
      <w:spacing w:after="0" w:line="240" w:lineRule="auto"/>
    </w:pPr>
  </w:style>
  <w:style w:type="character" w:customStyle="1" w:styleId="PieddepageCar">
    <w:name w:val="Pied de page Car"/>
    <w:link w:val="Pieddepage"/>
    <w:uiPriority w:val="99"/>
    <w:rsid w:val="000415F8"/>
    <w:rPr>
      <w:rFonts w:ascii="Calibri" w:eastAsia="Calibri" w:hAnsi="Calibri" w:cs="Arial"/>
    </w:rPr>
  </w:style>
  <w:style w:type="paragraph" w:styleId="Textedebulles">
    <w:name w:val="Balloon Text"/>
    <w:basedOn w:val="Normal"/>
    <w:link w:val="TextedebullesCar"/>
    <w:uiPriority w:val="99"/>
    <w:semiHidden/>
    <w:unhideWhenUsed/>
    <w:rsid w:val="002772D9"/>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2772D9"/>
    <w:rPr>
      <w:rFonts w:ascii="Segoe UI" w:eastAsia="Calibri" w:hAnsi="Segoe UI" w:cs="Segoe UI"/>
      <w:sz w:val="18"/>
      <w:szCs w:val="18"/>
    </w:rPr>
  </w:style>
  <w:style w:type="character" w:styleId="Marquedecommentaire">
    <w:name w:val="annotation reference"/>
    <w:uiPriority w:val="99"/>
    <w:semiHidden/>
    <w:unhideWhenUsed/>
    <w:rsid w:val="00162DC6"/>
    <w:rPr>
      <w:sz w:val="16"/>
      <w:szCs w:val="16"/>
    </w:rPr>
  </w:style>
  <w:style w:type="paragraph" w:styleId="Commentaire">
    <w:name w:val="annotation text"/>
    <w:basedOn w:val="Normal"/>
    <w:link w:val="CommentaireCar"/>
    <w:uiPriority w:val="99"/>
    <w:unhideWhenUsed/>
    <w:rsid w:val="00162DC6"/>
    <w:pPr>
      <w:spacing w:line="240" w:lineRule="auto"/>
    </w:pPr>
    <w:rPr>
      <w:sz w:val="20"/>
      <w:szCs w:val="20"/>
    </w:rPr>
  </w:style>
  <w:style w:type="character" w:customStyle="1" w:styleId="CommentaireCar">
    <w:name w:val="Commentaire Car"/>
    <w:link w:val="Commentaire"/>
    <w:uiPriority w:val="99"/>
    <w:rsid w:val="00162DC6"/>
    <w:rPr>
      <w:rFonts w:ascii="Calibri" w:eastAsia="Calibri" w:hAnsi="Calibri" w:cs="Arial"/>
      <w:sz w:val="20"/>
      <w:szCs w:val="20"/>
    </w:rPr>
  </w:style>
  <w:style w:type="paragraph" w:styleId="Objetducommentaire">
    <w:name w:val="annotation subject"/>
    <w:basedOn w:val="Commentaire"/>
    <w:next w:val="Commentaire"/>
    <w:link w:val="ObjetducommentaireCar"/>
    <w:uiPriority w:val="99"/>
    <w:semiHidden/>
    <w:unhideWhenUsed/>
    <w:rsid w:val="00162DC6"/>
    <w:rPr>
      <w:b/>
      <w:bCs/>
    </w:rPr>
  </w:style>
  <w:style w:type="character" w:customStyle="1" w:styleId="ObjetducommentaireCar">
    <w:name w:val="Objet du commentaire Car"/>
    <w:link w:val="Objetducommentaire"/>
    <w:uiPriority w:val="99"/>
    <w:semiHidden/>
    <w:rsid w:val="00162DC6"/>
    <w:rPr>
      <w:rFonts w:ascii="Calibri" w:eastAsia="Calibri" w:hAnsi="Calibri" w:cs="Arial"/>
      <w:b/>
      <w:bCs/>
      <w:sz w:val="20"/>
      <w:szCs w:val="20"/>
    </w:rPr>
  </w:style>
  <w:style w:type="paragraph" w:customStyle="1" w:styleId="Default">
    <w:name w:val="Default"/>
    <w:rsid w:val="00FD766B"/>
    <w:pPr>
      <w:autoSpaceDE w:val="0"/>
      <w:autoSpaceDN w:val="0"/>
      <w:adjustRightInd w:val="0"/>
    </w:pPr>
    <w:rPr>
      <w:rFonts w:ascii="Times New Roman" w:eastAsia="Times New Roman" w:hAnsi="Times New Roman" w:cs="Times New Roman"/>
      <w:color w:val="000000"/>
      <w:sz w:val="24"/>
      <w:szCs w:val="24"/>
    </w:rPr>
  </w:style>
  <w:style w:type="table" w:customStyle="1" w:styleId="TableGrid10">
    <w:name w:val="Table Grid10"/>
    <w:basedOn w:val="TableauNormal"/>
    <w:next w:val="Grilledutableau"/>
    <w:uiPriority w:val="39"/>
    <w:rsid w:val="00CC13B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Headline">
    <w:name w:val="Box Headline"/>
    <w:rsid w:val="00256E5A"/>
    <w:pPr>
      <w:suppressAutoHyphens/>
      <w:spacing w:after="120"/>
      <w:jc w:val="center"/>
    </w:pPr>
    <w:rPr>
      <w:rFonts w:ascii="Arial" w:eastAsia="Times New Roman" w:hAnsi="Arial" w:cs="Times New Roman"/>
      <w:b/>
      <w:sz w:val="18"/>
      <w:lang w:val="en-US" w:eastAsia="en-US"/>
    </w:rPr>
  </w:style>
  <w:style w:type="character" w:customStyle="1" w:styleId="ParagraphedelisteCar">
    <w:name w:val="Paragraphe de liste Car"/>
    <w:aliases w:val="List Paragraph1 Car,Project Profile name Car,Paragraphe de liste1 Car,Numbered paragraph Car,Medium Grid 1 - Accent 21 Car,List Paragraph (numbered (a)) Car,Numbered List Paragraph Car,References Car,ReferencesCxSpLast Car"/>
    <w:link w:val="Paragraphedeliste"/>
    <w:uiPriority w:val="34"/>
    <w:qFormat/>
    <w:rsid w:val="004608BF"/>
    <w:rPr>
      <w:sz w:val="22"/>
      <w:szCs w:val="22"/>
      <w:lang w:val="en-US" w:eastAsia="en-US"/>
    </w:rPr>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link w:val="Appelnotedebasdep"/>
    <w:uiPriority w:val="99"/>
    <w:rsid w:val="002C4E23"/>
    <w:pPr>
      <w:spacing w:after="160" w:line="240" w:lineRule="exact"/>
      <w:jc w:val="both"/>
    </w:pPr>
    <w:rPr>
      <w:sz w:val="20"/>
      <w:szCs w:val="20"/>
      <w:vertAlign w:val="superscript"/>
      <w:lang w:val="en-GB" w:eastAsia="en-GB"/>
    </w:rPr>
  </w:style>
  <w:style w:type="paragraph" w:customStyle="1" w:styleId="Commentaire1">
    <w:name w:val="Commentaire1"/>
    <w:basedOn w:val="Normal"/>
    <w:rsid w:val="00214FA3"/>
    <w:pPr>
      <w:suppressAutoHyphens/>
      <w:spacing w:after="0" w:line="240" w:lineRule="auto"/>
    </w:pPr>
    <w:rPr>
      <w:rFonts w:ascii="Times New Roman" w:eastAsia="Times New Roman" w:hAnsi="Times New Roman" w:cs="Times New Roman"/>
      <w:color w:val="00000A"/>
      <w:kern w:val="1"/>
      <w:sz w:val="20"/>
      <w:szCs w:val="20"/>
      <w:lang w:eastAsia="zh-CN"/>
    </w:rPr>
  </w:style>
  <w:style w:type="paragraph" w:styleId="Corpsdetexte2">
    <w:name w:val="Body Text 2"/>
    <w:basedOn w:val="Normal"/>
    <w:link w:val="Corpsdetexte2Car"/>
    <w:rsid w:val="00214FA3"/>
    <w:pPr>
      <w:spacing w:before="120" w:after="120" w:line="240" w:lineRule="auto"/>
      <w:jc w:val="both"/>
    </w:pPr>
    <w:rPr>
      <w:rFonts w:ascii="Arial" w:eastAsia="SimSun" w:hAnsi="Arial" w:cs="Times New Roman"/>
      <w:sz w:val="24"/>
      <w:szCs w:val="24"/>
      <w:lang w:val="en-GB"/>
    </w:rPr>
  </w:style>
  <w:style w:type="character" w:customStyle="1" w:styleId="Corpsdetexte2Car">
    <w:name w:val="Corps de texte 2 Car"/>
    <w:link w:val="Corpsdetexte2"/>
    <w:rsid w:val="00214FA3"/>
    <w:rPr>
      <w:rFonts w:ascii="Arial" w:eastAsia="SimSun" w:hAnsi="Arial" w:cs="Times New Roman"/>
      <w:sz w:val="24"/>
      <w:szCs w:val="24"/>
      <w:lang w:eastAsia="en-US"/>
    </w:rPr>
  </w:style>
  <w:style w:type="paragraph" w:styleId="PrformatHTML">
    <w:name w:val="HTML Preformatted"/>
    <w:basedOn w:val="Normal"/>
    <w:link w:val="PrformatHTMLCar"/>
    <w:uiPriority w:val="99"/>
    <w:semiHidden/>
    <w:unhideWhenUsed/>
    <w:rsid w:val="00DF47DF"/>
    <w:rPr>
      <w:rFonts w:ascii="Courier New" w:hAnsi="Courier New" w:cs="Courier New"/>
      <w:sz w:val="20"/>
      <w:szCs w:val="20"/>
    </w:rPr>
  </w:style>
  <w:style w:type="character" w:customStyle="1" w:styleId="PrformatHTMLCar">
    <w:name w:val="Préformaté HTML Car"/>
    <w:link w:val="PrformatHTML"/>
    <w:uiPriority w:val="99"/>
    <w:semiHidden/>
    <w:rsid w:val="00DF47DF"/>
    <w:rPr>
      <w:rFonts w:ascii="Courier New" w:hAnsi="Courier New" w:cs="Courier New"/>
      <w:lang w:val="en-US" w:eastAsia="en-US"/>
    </w:rPr>
  </w:style>
  <w:style w:type="paragraph" w:styleId="NormalWeb">
    <w:name w:val="Normal (Web)"/>
    <w:basedOn w:val="Normal"/>
    <w:uiPriority w:val="99"/>
    <w:semiHidden/>
    <w:unhideWhenUsed/>
    <w:rsid w:val="00F1034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Rvision">
    <w:name w:val="Revision"/>
    <w:hidden/>
    <w:uiPriority w:val="99"/>
    <w:semiHidden/>
    <w:rsid w:val="00981133"/>
    <w:rPr>
      <w:sz w:val="22"/>
      <w:szCs w:val="22"/>
      <w:lang w:val="en-US" w:eastAsia="en-US"/>
    </w:rPr>
  </w:style>
  <w:style w:type="paragraph" w:styleId="Titre">
    <w:name w:val="Title"/>
    <w:basedOn w:val="Normal"/>
    <w:link w:val="TitreCar"/>
    <w:qFormat/>
    <w:rsid w:val="009240D6"/>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lang w:val="fr-FR" w:eastAsia="fr-FR"/>
    </w:rPr>
  </w:style>
  <w:style w:type="character" w:customStyle="1" w:styleId="TitreCar">
    <w:name w:val="Titre Car"/>
    <w:basedOn w:val="Policepardfaut"/>
    <w:link w:val="Titre"/>
    <w:rsid w:val="009240D6"/>
    <w:rPr>
      <w:rFonts w:ascii="Times New Roman" w:eastAsia="Times New Roman" w:hAnsi="Times New Roman" w:cs="Times New Roman"/>
      <w:b/>
      <w:bCs/>
      <w:sz w:val="28"/>
      <w:lang w:val="fr-FR" w:eastAsia="fr-FR"/>
    </w:rPr>
  </w:style>
  <w:style w:type="character" w:customStyle="1" w:styleId="Titre1Car">
    <w:name w:val="Titre 1 Car"/>
    <w:basedOn w:val="Policepardfaut"/>
    <w:link w:val="Titre1"/>
    <w:uiPriority w:val="9"/>
    <w:rsid w:val="00FB277E"/>
    <w:rPr>
      <w:rFonts w:asciiTheme="majorHAnsi" w:eastAsiaTheme="majorEastAsia" w:hAnsiTheme="majorHAnsi" w:cstheme="majorBidi"/>
      <w:color w:val="2F5496" w:themeColor="accent1" w:themeShade="BF"/>
      <w:sz w:val="32"/>
      <w:szCs w:val="32"/>
      <w:lang w:val="fr-FR" w:eastAsia="en-US"/>
    </w:rPr>
  </w:style>
  <w:style w:type="paragraph" w:styleId="Sansinterligne">
    <w:name w:val="No Spacing"/>
    <w:uiPriority w:val="1"/>
    <w:qFormat/>
    <w:rsid w:val="0019669D"/>
    <w:rPr>
      <w:rFonts w:asciiTheme="minorHAnsi" w:eastAsiaTheme="minorHAnsi" w:hAnsiTheme="minorHAnsi" w:cstheme="minorBidi"/>
      <w:sz w:val="22"/>
      <w:szCs w:val="22"/>
      <w:lang w:val="en-US" w:eastAsia="en-US"/>
    </w:rPr>
  </w:style>
  <w:style w:type="character" w:styleId="Lienhypertexte">
    <w:name w:val="Hyperlink"/>
    <w:basedOn w:val="Policepardfaut"/>
    <w:uiPriority w:val="99"/>
    <w:unhideWhenUsed/>
    <w:rsid w:val="00F068C0"/>
    <w:rPr>
      <w:color w:val="0563C1" w:themeColor="hyperlink"/>
      <w:u w:val="single"/>
    </w:rPr>
  </w:style>
  <w:style w:type="character" w:customStyle="1" w:styleId="Mentionnonrsolue1">
    <w:name w:val="Mention non résolue1"/>
    <w:basedOn w:val="Policepardfaut"/>
    <w:uiPriority w:val="99"/>
    <w:semiHidden/>
    <w:unhideWhenUsed/>
    <w:rsid w:val="00F068C0"/>
    <w:rPr>
      <w:color w:val="605E5C"/>
      <w:shd w:val="clear" w:color="auto" w:fill="E1DFDD"/>
    </w:rPr>
  </w:style>
  <w:style w:type="character" w:customStyle="1" w:styleId="Titre3Car">
    <w:name w:val="Titre 3 Car"/>
    <w:basedOn w:val="Policepardfaut"/>
    <w:link w:val="Titre3"/>
    <w:uiPriority w:val="9"/>
    <w:semiHidden/>
    <w:rsid w:val="00CD7762"/>
    <w:rPr>
      <w:rFonts w:asciiTheme="majorHAnsi" w:eastAsiaTheme="majorEastAsia" w:hAnsiTheme="majorHAnsi" w:cstheme="majorBidi"/>
      <w:color w:val="1F3763" w:themeColor="accent1" w:themeShade="7F"/>
      <w:sz w:val="24"/>
      <w:szCs w:val="24"/>
      <w:lang w:val="en-US" w:eastAsia="en-US"/>
    </w:rPr>
  </w:style>
  <w:style w:type="paragraph" w:styleId="TM2">
    <w:name w:val="toc 2"/>
    <w:basedOn w:val="Normal"/>
    <w:next w:val="Normal"/>
    <w:autoRedefine/>
    <w:uiPriority w:val="39"/>
    <w:unhideWhenUsed/>
    <w:rsid w:val="007E7773"/>
    <w:pPr>
      <w:spacing w:after="100" w:line="240" w:lineRule="auto"/>
      <w:ind w:left="240"/>
    </w:pPr>
    <w:rPr>
      <w:rFonts w:ascii="Times New Roman" w:eastAsia="Times New Roman" w:hAnsi="Times New Roman" w:cs="Times New Roman"/>
      <w:sz w:val="24"/>
      <w:szCs w:val="24"/>
      <w:lang w:val="fr-FR" w:eastAsia="fr-FR"/>
    </w:rPr>
  </w:style>
  <w:style w:type="character" w:styleId="Accentuationlgre">
    <w:name w:val="Subtle Emphasis"/>
    <w:uiPriority w:val="19"/>
    <w:qFormat/>
    <w:rsid w:val="00CC79B0"/>
    <w:rPr>
      <w:rFonts w:cstheme="minorHAnsi"/>
      <w:i/>
      <w:iCs/>
      <w:color w:val="000000"/>
      <w:lang w:val="fr-FR"/>
    </w:rPr>
  </w:style>
  <w:style w:type="paragraph" w:customStyle="1" w:styleId="Sub-ActivityHeading">
    <w:name w:val="Sub-Activity Heading"/>
    <w:basedOn w:val="Sansinterligne"/>
    <w:qFormat/>
    <w:rsid w:val="00664447"/>
    <w:pPr>
      <w:spacing w:before="120" w:after="120"/>
      <w:jc w:val="both"/>
    </w:pPr>
    <w:rPr>
      <w:rFonts w:eastAsia="Times New Roman" w:cstheme="minorHAnsi"/>
      <w:b/>
      <w:bCs/>
      <w:shd w:val="clear" w:color="auto" w:fill="A8D08D"/>
      <w:lang w:val="fr-FR" w:eastAsia="fr-FR"/>
    </w:rPr>
  </w:style>
  <w:style w:type="paragraph" w:customStyle="1" w:styleId="Activity">
    <w:name w:val="Activity"/>
    <w:basedOn w:val="Sansinterligne"/>
    <w:qFormat/>
    <w:rsid w:val="00CC79B0"/>
    <w:pPr>
      <w:shd w:val="clear" w:color="auto" w:fill="FBE4D5" w:themeFill="accent2" w:themeFillTint="33"/>
      <w:spacing w:before="120" w:after="120"/>
      <w:jc w:val="both"/>
    </w:pPr>
    <w:rPr>
      <w:rFonts w:cstheme="minorHAnsi"/>
      <w:b/>
      <w:bCs/>
      <w:color w:val="000000"/>
      <w:lang w:val="fr-FR"/>
    </w:rPr>
  </w:style>
  <w:style w:type="paragraph" w:customStyle="1" w:styleId="Composante">
    <w:name w:val="Composante"/>
    <w:basedOn w:val="Sansinterligne"/>
    <w:qFormat/>
    <w:rsid w:val="00CC79B0"/>
    <w:pPr>
      <w:shd w:val="clear" w:color="auto" w:fill="D5DCE4" w:themeFill="text2" w:themeFillTint="33"/>
      <w:spacing w:before="120" w:after="120"/>
      <w:jc w:val="both"/>
    </w:pPr>
    <w:rPr>
      <w:rFonts w:cstheme="minorHAnsi"/>
      <w:b/>
      <w:bCs/>
      <w:lang w:val="fr-FR" w:eastAsia="fr-FR"/>
    </w:rPr>
  </w:style>
  <w:style w:type="paragraph" w:customStyle="1" w:styleId="Rsultat">
    <w:name w:val="Résultat"/>
    <w:basedOn w:val="Sansinterligne"/>
    <w:qFormat/>
    <w:rsid w:val="00C32582"/>
    <w:pPr>
      <w:shd w:val="clear" w:color="auto" w:fill="DEEAF6" w:themeFill="accent5" w:themeFillTint="33"/>
      <w:spacing w:before="120" w:after="120"/>
      <w:jc w:val="both"/>
    </w:pPr>
    <w:rPr>
      <w:rFonts w:cstheme="minorHAnsi"/>
      <w:b/>
      <w:b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7754">
      <w:bodyDiv w:val="1"/>
      <w:marLeft w:val="0"/>
      <w:marRight w:val="0"/>
      <w:marTop w:val="0"/>
      <w:marBottom w:val="0"/>
      <w:divBdr>
        <w:top w:val="none" w:sz="0" w:space="0" w:color="auto"/>
        <w:left w:val="none" w:sz="0" w:space="0" w:color="auto"/>
        <w:bottom w:val="none" w:sz="0" w:space="0" w:color="auto"/>
        <w:right w:val="none" w:sz="0" w:space="0" w:color="auto"/>
      </w:divBdr>
      <w:divsChild>
        <w:div w:id="1719664757">
          <w:marLeft w:val="0"/>
          <w:marRight w:val="0"/>
          <w:marTop w:val="0"/>
          <w:marBottom w:val="0"/>
          <w:divBdr>
            <w:top w:val="none" w:sz="0" w:space="0" w:color="auto"/>
            <w:left w:val="none" w:sz="0" w:space="0" w:color="auto"/>
            <w:bottom w:val="none" w:sz="0" w:space="0" w:color="auto"/>
            <w:right w:val="none" w:sz="0" w:space="0" w:color="auto"/>
          </w:divBdr>
          <w:divsChild>
            <w:div w:id="205023319">
              <w:marLeft w:val="0"/>
              <w:marRight w:val="0"/>
              <w:marTop w:val="0"/>
              <w:marBottom w:val="0"/>
              <w:divBdr>
                <w:top w:val="none" w:sz="0" w:space="0" w:color="auto"/>
                <w:left w:val="none" w:sz="0" w:space="0" w:color="auto"/>
                <w:bottom w:val="none" w:sz="0" w:space="0" w:color="auto"/>
                <w:right w:val="none" w:sz="0" w:space="0" w:color="auto"/>
              </w:divBdr>
              <w:divsChild>
                <w:div w:id="185514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4261">
      <w:bodyDiv w:val="1"/>
      <w:marLeft w:val="0"/>
      <w:marRight w:val="0"/>
      <w:marTop w:val="0"/>
      <w:marBottom w:val="0"/>
      <w:divBdr>
        <w:top w:val="none" w:sz="0" w:space="0" w:color="auto"/>
        <w:left w:val="none" w:sz="0" w:space="0" w:color="auto"/>
        <w:bottom w:val="none" w:sz="0" w:space="0" w:color="auto"/>
        <w:right w:val="none" w:sz="0" w:space="0" w:color="auto"/>
      </w:divBdr>
    </w:div>
    <w:div w:id="231283898">
      <w:bodyDiv w:val="1"/>
      <w:marLeft w:val="0"/>
      <w:marRight w:val="0"/>
      <w:marTop w:val="0"/>
      <w:marBottom w:val="0"/>
      <w:divBdr>
        <w:top w:val="none" w:sz="0" w:space="0" w:color="auto"/>
        <w:left w:val="none" w:sz="0" w:space="0" w:color="auto"/>
        <w:bottom w:val="none" w:sz="0" w:space="0" w:color="auto"/>
        <w:right w:val="none" w:sz="0" w:space="0" w:color="auto"/>
      </w:divBdr>
    </w:div>
    <w:div w:id="262764224">
      <w:bodyDiv w:val="1"/>
      <w:marLeft w:val="0"/>
      <w:marRight w:val="0"/>
      <w:marTop w:val="0"/>
      <w:marBottom w:val="0"/>
      <w:divBdr>
        <w:top w:val="none" w:sz="0" w:space="0" w:color="auto"/>
        <w:left w:val="none" w:sz="0" w:space="0" w:color="auto"/>
        <w:bottom w:val="none" w:sz="0" w:space="0" w:color="auto"/>
        <w:right w:val="none" w:sz="0" w:space="0" w:color="auto"/>
      </w:divBdr>
      <w:divsChild>
        <w:div w:id="558588151">
          <w:marLeft w:val="0"/>
          <w:marRight w:val="0"/>
          <w:marTop w:val="0"/>
          <w:marBottom w:val="0"/>
          <w:divBdr>
            <w:top w:val="none" w:sz="0" w:space="0" w:color="auto"/>
            <w:left w:val="none" w:sz="0" w:space="0" w:color="auto"/>
            <w:bottom w:val="none" w:sz="0" w:space="0" w:color="auto"/>
            <w:right w:val="none" w:sz="0" w:space="0" w:color="auto"/>
          </w:divBdr>
          <w:divsChild>
            <w:div w:id="1407193320">
              <w:marLeft w:val="0"/>
              <w:marRight w:val="0"/>
              <w:marTop w:val="0"/>
              <w:marBottom w:val="0"/>
              <w:divBdr>
                <w:top w:val="none" w:sz="0" w:space="0" w:color="auto"/>
                <w:left w:val="none" w:sz="0" w:space="0" w:color="auto"/>
                <w:bottom w:val="none" w:sz="0" w:space="0" w:color="auto"/>
                <w:right w:val="none" w:sz="0" w:space="0" w:color="auto"/>
              </w:divBdr>
              <w:divsChild>
                <w:div w:id="115317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31893">
      <w:bodyDiv w:val="1"/>
      <w:marLeft w:val="0"/>
      <w:marRight w:val="0"/>
      <w:marTop w:val="0"/>
      <w:marBottom w:val="0"/>
      <w:divBdr>
        <w:top w:val="none" w:sz="0" w:space="0" w:color="auto"/>
        <w:left w:val="none" w:sz="0" w:space="0" w:color="auto"/>
        <w:bottom w:val="none" w:sz="0" w:space="0" w:color="auto"/>
        <w:right w:val="none" w:sz="0" w:space="0" w:color="auto"/>
      </w:divBdr>
    </w:div>
    <w:div w:id="497622024">
      <w:bodyDiv w:val="1"/>
      <w:marLeft w:val="0"/>
      <w:marRight w:val="0"/>
      <w:marTop w:val="0"/>
      <w:marBottom w:val="0"/>
      <w:divBdr>
        <w:top w:val="none" w:sz="0" w:space="0" w:color="auto"/>
        <w:left w:val="none" w:sz="0" w:space="0" w:color="auto"/>
        <w:bottom w:val="none" w:sz="0" w:space="0" w:color="auto"/>
        <w:right w:val="none" w:sz="0" w:space="0" w:color="auto"/>
      </w:divBdr>
    </w:div>
    <w:div w:id="526649447">
      <w:bodyDiv w:val="1"/>
      <w:marLeft w:val="0"/>
      <w:marRight w:val="0"/>
      <w:marTop w:val="0"/>
      <w:marBottom w:val="0"/>
      <w:divBdr>
        <w:top w:val="none" w:sz="0" w:space="0" w:color="auto"/>
        <w:left w:val="none" w:sz="0" w:space="0" w:color="auto"/>
        <w:bottom w:val="none" w:sz="0" w:space="0" w:color="auto"/>
        <w:right w:val="none" w:sz="0" w:space="0" w:color="auto"/>
      </w:divBdr>
    </w:div>
    <w:div w:id="569923883">
      <w:bodyDiv w:val="1"/>
      <w:marLeft w:val="0"/>
      <w:marRight w:val="0"/>
      <w:marTop w:val="0"/>
      <w:marBottom w:val="0"/>
      <w:divBdr>
        <w:top w:val="none" w:sz="0" w:space="0" w:color="auto"/>
        <w:left w:val="none" w:sz="0" w:space="0" w:color="auto"/>
        <w:bottom w:val="none" w:sz="0" w:space="0" w:color="auto"/>
        <w:right w:val="none" w:sz="0" w:space="0" w:color="auto"/>
      </w:divBdr>
      <w:divsChild>
        <w:div w:id="2020615742">
          <w:marLeft w:val="0"/>
          <w:marRight w:val="0"/>
          <w:marTop w:val="0"/>
          <w:marBottom w:val="0"/>
          <w:divBdr>
            <w:top w:val="none" w:sz="0" w:space="0" w:color="auto"/>
            <w:left w:val="none" w:sz="0" w:space="0" w:color="auto"/>
            <w:bottom w:val="none" w:sz="0" w:space="0" w:color="auto"/>
            <w:right w:val="none" w:sz="0" w:space="0" w:color="auto"/>
          </w:divBdr>
          <w:divsChild>
            <w:div w:id="204830895">
              <w:marLeft w:val="0"/>
              <w:marRight w:val="0"/>
              <w:marTop w:val="0"/>
              <w:marBottom w:val="0"/>
              <w:divBdr>
                <w:top w:val="none" w:sz="0" w:space="0" w:color="auto"/>
                <w:left w:val="none" w:sz="0" w:space="0" w:color="auto"/>
                <w:bottom w:val="none" w:sz="0" w:space="0" w:color="auto"/>
                <w:right w:val="none" w:sz="0" w:space="0" w:color="auto"/>
              </w:divBdr>
              <w:divsChild>
                <w:div w:id="51754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64094">
      <w:bodyDiv w:val="1"/>
      <w:marLeft w:val="0"/>
      <w:marRight w:val="0"/>
      <w:marTop w:val="0"/>
      <w:marBottom w:val="0"/>
      <w:divBdr>
        <w:top w:val="none" w:sz="0" w:space="0" w:color="auto"/>
        <w:left w:val="none" w:sz="0" w:space="0" w:color="auto"/>
        <w:bottom w:val="none" w:sz="0" w:space="0" w:color="auto"/>
        <w:right w:val="none" w:sz="0" w:space="0" w:color="auto"/>
      </w:divBdr>
      <w:divsChild>
        <w:div w:id="1365207974">
          <w:marLeft w:val="0"/>
          <w:marRight w:val="0"/>
          <w:marTop w:val="0"/>
          <w:marBottom w:val="0"/>
          <w:divBdr>
            <w:top w:val="none" w:sz="0" w:space="0" w:color="auto"/>
            <w:left w:val="none" w:sz="0" w:space="0" w:color="auto"/>
            <w:bottom w:val="none" w:sz="0" w:space="0" w:color="auto"/>
            <w:right w:val="none" w:sz="0" w:space="0" w:color="auto"/>
          </w:divBdr>
        </w:div>
        <w:div w:id="2031370508">
          <w:marLeft w:val="0"/>
          <w:marRight w:val="0"/>
          <w:marTop w:val="0"/>
          <w:marBottom w:val="0"/>
          <w:divBdr>
            <w:top w:val="none" w:sz="0" w:space="0" w:color="auto"/>
            <w:left w:val="none" w:sz="0" w:space="0" w:color="auto"/>
            <w:bottom w:val="none" w:sz="0" w:space="0" w:color="auto"/>
            <w:right w:val="none" w:sz="0" w:space="0" w:color="auto"/>
          </w:divBdr>
        </w:div>
        <w:div w:id="24210163">
          <w:marLeft w:val="0"/>
          <w:marRight w:val="0"/>
          <w:marTop w:val="0"/>
          <w:marBottom w:val="0"/>
          <w:divBdr>
            <w:top w:val="none" w:sz="0" w:space="0" w:color="auto"/>
            <w:left w:val="none" w:sz="0" w:space="0" w:color="auto"/>
            <w:bottom w:val="none" w:sz="0" w:space="0" w:color="auto"/>
            <w:right w:val="none" w:sz="0" w:space="0" w:color="auto"/>
          </w:divBdr>
        </w:div>
      </w:divsChild>
    </w:div>
    <w:div w:id="578368172">
      <w:bodyDiv w:val="1"/>
      <w:marLeft w:val="0"/>
      <w:marRight w:val="0"/>
      <w:marTop w:val="0"/>
      <w:marBottom w:val="0"/>
      <w:divBdr>
        <w:top w:val="none" w:sz="0" w:space="0" w:color="auto"/>
        <w:left w:val="none" w:sz="0" w:space="0" w:color="auto"/>
        <w:bottom w:val="none" w:sz="0" w:space="0" w:color="auto"/>
        <w:right w:val="none" w:sz="0" w:space="0" w:color="auto"/>
      </w:divBdr>
    </w:div>
    <w:div w:id="726417444">
      <w:bodyDiv w:val="1"/>
      <w:marLeft w:val="0"/>
      <w:marRight w:val="0"/>
      <w:marTop w:val="0"/>
      <w:marBottom w:val="0"/>
      <w:divBdr>
        <w:top w:val="none" w:sz="0" w:space="0" w:color="auto"/>
        <w:left w:val="none" w:sz="0" w:space="0" w:color="auto"/>
        <w:bottom w:val="none" w:sz="0" w:space="0" w:color="auto"/>
        <w:right w:val="none" w:sz="0" w:space="0" w:color="auto"/>
      </w:divBdr>
    </w:div>
    <w:div w:id="738480939">
      <w:bodyDiv w:val="1"/>
      <w:marLeft w:val="0"/>
      <w:marRight w:val="0"/>
      <w:marTop w:val="0"/>
      <w:marBottom w:val="0"/>
      <w:divBdr>
        <w:top w:val="none" w:sz="0" w:space="0" w:color="auto"/>
        <w:left w:val="none" w:sz="0" w:space="0" w:color="auto"/>
        <w:bottom w:val="none" w:sz="0" w:space="0" w:color="auto"/>
        <w:right w:val="none" w:sz="0" w:space="0" w:color="auto"/>
      </w:divBdr>
    </w:div>
    <w:div w:id="783616779">
      <w:bodyDiv w:val="1"/>
      <w:marLeft w:val="0"/>
      <w:marRight w:val="0"/>
      <w:marTop w:val="0"/>
      <w:marBottom w:val="0"/>
      <w:divBdr>
        <w:top w:val="none" w:sz="0" w:space="0" w:color="auto"/>
        <w:left w:val="none" w:sz="0" w:space="0" w:color="auto"/>
        <w:bottom w:val="none" w:sz="0" w:space="0" w:color="auto"/>
        <w:right w:val="none" w:sz="0" w:space="0" w:color="auto"/>
      </w:divBdr>
      <w:divsChild>
        <w:div w:id="476149913">
          <w:marLeft w:val="0"/>
          <w:marRight w:val="0"/>
          <w:marTop w:val="0"/>
          <w:marBottom w:val="0"/>
          <w:divBdr>
            <w:top w:val="none" w:sz="0" w:space="0" w:color="auto"/>
            <w:left w:val="none" w:sz="0" w:space="0" w:color="auto"/>
            <w:bottom w:val="none" w:sz="0" w:space="0" w:color="auto"/>
            <w:right w:val="none" w:sz="0" w:space="0" w:color="auto"/>
          </w:divBdr>
          <w:divsChild>
            <w:div w:id="1953198532">
              <w:marLeft w:val="60"/>
              <w:marRight w:val="0"/>
              <w:marTop w:val="0"/>
              <w:marBottom w:val="0"/>
              <w:divBdr>
                <w:top w:val="none" w:sz="0" w:space="0" w:color="auto"/>
                <w:left w:val="none" w:sz="0" w:space="0" w:color="auto"/>
                <w:bottom w:val="none" w:sz="0" w:space="0" w:color="auto"/>
                <w:right w:val="none" w:sz="0" w:space="0" w:color="auto"/>
              </w:divBdr>
              <w:divsChild>
                <w:div w:id="1673991516">
                  <w:marLeft w:val="0"/>
                  <w:marRight w:val="0"/>
                  <w:marTop w:val="0"/>
                  <w:marBottom w:val="0"/>
                  <w:divBdr>
                    <w:top w:val="none" w:sz="0" w:space="0" w:color="auto"/>
                    <w:left w:val="none" w:sz="0" w:space="0" w:color="auto"/>
                    <w:bottom w:val="none" w:sz="0" w:space="0" w:color="auto"/>
                    <w:right w:val="none" w:sz="0" w:space="0" w:color="auto"/>
                  </w:divBdr>
                  <w:divsChild>
                    <w:div w:id="2004315173">
                      <w:marLeft w:val="0"/>
                      <w:marRight w:val="0"/>
                      <w:marTop w:val="0"/>
                      <w:marBottom w:val="120"/>
                      <w:divBdr>
                        <w:top w:val="single" w:sz="6" w:space="0" w:color="F5F5F5"/>
                        <w:left w:val="single" w:sz="6" w:space="0" w:color="F5F5F5"/>
                        <w:bottom w:val="single" w:sz="6" w:space="0" w:color="F5F5F5"/>
                        <w:right w:val="single" w:sz="6" w:space="0" w:color="F5F5F5"/>
                      </w:divBdr>
                      <w:divsChild>
                        <w:div w:id="515192128">
                          <w:marLeft w:val="0"/>
                          <w:marRight w:val="0"/>
                          <w:marTop w:val="0"/>
                          <w:marBottom w:val="0"/>
                          <w:divBdr>
                            <w:top w:val="none" w:sz="0" w:space="0" w:color="auto"/>
                            <w:left w:val="none" w:sz="0" w:space="0" w:color="auto"/>
                            <w:bottom w:val="none" w:sz="0" w:space="0" w:color="auto"/>
                            <w:right w:val="none" w:sz="0" w:space="0" w:color="auto"/>
                          </w:divBdr>
                          <w:divsChild>
                            <w:div w:id="20436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845675">
          <w:marLeft w:val="0"/>
          <w:marRight w:val="0"/>
          <w:marTop w:val="0"/>
          <w:marBottom w:val="0"/>
          <w:divBdr>
            <w:top w:val="none" w:sz="0" w:space="0" w:color="auto"/>
            <w:left w:val="none" w:sz="0" w:space="0" w:color="auto"/>
            <w:bottom w:val="none" w:sz="0" w:space="0" w:color="auto"/>
            <w:right w:val="none" w:sz="0" w:space="0" w:color="auto"/>
          </w:divBdr>
          <w:divsChild>
            <w:div w:id="381635180">
              <w:marLeft w:val="0"/>
              <w:marRight w:val="60"/>
              <w:marTop w:val="0"/>
              <w:marBottom w:val="0"/>
              <w:divBdr>
                <w:top w:val="none" w:sz="0" w:space="0" w:color="auto"/>
                <w:left w:val="none" w:sz="0" w:space="0" w:color="auto"/>
                <w:bottom w:val="none" w:sz="0" w:space="0" w:color="auto"/>
                <w:right w:val="none" w:sz="0" w:space="0" w:color="auto"/>
              </w:divBdr>
              <w:divsChild>
                <w:div w:id="1777629647">
                  <w:marLeft w:val="0"/>
                  <w:marRight w:val="0"/>
                  <w:marTop w:val="0"/>
                  <w:marBottom w:val="120"/>
                  <w:divBdr>
                    <w:top w:val="single" w:sz="6" w:space="0" w:color="C0C0C0"/>
                    <w:left w:val="single" w:sz="6" w:space="0" w:color="D9D9D9"/>
                    <w:bottom w:val="single" w:sz="6" w:space="0" w:color="D9D9D9"/>
                    <w:right w:val="single" w:sz="6" w:space="0" w:color="D9D9D9"/>
                  </w:divBdr>
                  <w:divsChild>
                    <w:div w:id="1083406744">
                      <w:marLeft w:val="0"/>
                      <w:marRight w:val="0"/>
                      <w:marTop w:val="0"/>
                      <w:marBottom w:val="0"/>
                      <w:divBdr>
                        <w:top w:val="none" w:sz="0" w:space="0" w:color="auto"/>
                        <w:left w:val="none" w:sz="0" w:space="0" w:color="auto"/>
                        <w:bottom w:val="none" w:sz="0" w:space="0" w:color="auto"/>
                        <w:right w:val="none" w:sz="0" w:space="0" w:color="auto"/>
                      </w:divBdr>
                    </w:div>
                    <w:div w:id="159261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077952">
      <w:bodyDiv w:val="1"/>
      <w:marLeft w:val="0"/>
      <w:marRight w:val="0"/>
      <w:marTop w:val="0"/>
      <w:marBottom w:val="0"/>
      <w:divBdr>
        <w:top w:val="none" w:sz="0" w:space="0" w:color="auto"/>
        <w:left w:val="none" w:sz="0" w:space="0" w:color="auto"/>
        <w:bottom w:val="none" w:sz="0" w:space="0" w:color="auto"/>
        <w:right w:val="none" w:sz="0" w:space="0" w:color="auto"/>
      </w:divBdr>
    </w:div>
    <w:div w:id="949316208">
      <w:bodyDiv w:val="1"/>
      <w:marLeft w:val="0"/>
      <w:marRight w:val="0"/>
      <w:marTop w:val="0"/>
      <w:marBottom w:val="0"/>
      <w:divBdr>
        <w:top w:val="none" w:sz="0" w:space="0" w:color="auto"/>
        <w:left w:val="none" w:sz="0" w:space="0" w:color="auto"/>
        <w:bottom w:val="none" w:sz="0" w:space="0" w:color="auto"/>
        <w:right w:val="none" w:sz="0" w:space="0" w:color="auto"/>
      </w:divBdr>
    </w:div>
    <w:div w:id="1078016605">
      <w:bodyDiv w:val="1"/>
      <w:marLeft w:val="0"/>
      <w:marRight w:val="0"/>
      <w:marTop w:val="0"/>
      <w:marBottom w:val="0"/>
      <w:divBdr>
        <w:top w:val="none" w:sz="0" w:space="0" w:color="auto"/>
        <w:left w:val="none" w:sz="0" w:space="0" w:color="auto"/>
        <w:bottom w:val="none" w:sz="0" w:space="0" w:color="auto"/>
        <w:right w:val="none" w:sz="0" w:space="0" w:color="auto"/>
      </w:divBdr>
      <w:divsChild>
        <w:div w:id="1323505084">
          <w:marLeft w:val="0"/>
          <w:marRight w:val="0"/>
          <w:marTop w:val="0"/>
          <w:marBottom w:val="0"/>
          <w:divBdr>
            <w:top w:val="none" w:sz="0" w:space="0" w:color="auto"/>
            <w:left w:val="none" w:sz="0" w:space="0" w:color="auto"/>
            <w:bottom w:val="none" w:sz="0" w:space="0" w:color="auto"/>
            <w:right w:val="none" w:sz="0" w:space="0" w:color="auto"/>
          </w:divBdr>
        </w:div>
        <w:div w:id="1815247079">
          <w:marLeft w:val="0"/>
          <w:marRight w:val="0"/>
          <w:marTop w:val="0"/>
          <w:marBottom w:val="0"/>
          <w:divBdr>
            <w:top w:val="none" w:sz="0" w:space="0" w:color="auto"/>
            <w:left w:val="none" w:sz="0" w:space="0" w:color="auto"/>
            <w:bottom w:val="none" w:sz="0" w:space="0" w:color="auto"/>
            <w:right w:val="none" w:sz="0" w:space="0" w:color="auto"/>
          </w:divBdr>
        </w:div>
        <w:div w:id="1375693258">
          <w:marLeft w:val="0"/>
          <w:marRight w:val="0"/>
          <w:marTop w:val="0"/>
          <w:marBottom w:val="0"/>
          <w:divBdr>
            <w:top w:val="none" w:sz="0" w:space="0" w:color="auto"/>
            <w:left w:val="none" w:sz="0" w:space="0" w:color="auto"/>
            <w:bottom w:val="none" w:sz="0" w:space="0" w:color="auto"/>
            <w:right w:val="none" w:sz="0" w:space="0" w:color="auto"/>
          </w:divBdr>
        </w:div>
        <w:div w:id="404686660">
          <w:marLeft w:val="0"/>
          <w:marRight w:val="0"/>
          <w:marTop w:val="0"/>
          <w:marBottom w:val="0"/>
          <w:divBdr>
            <w:top w:val="none" w:sz="0" w:space="0" w:color="auto"/>
            <w:left w:val="none" w:sz="0" w:space="0" w:color="auto"/>
            <w:bottom w:val="none" w:sz="0" w:space="0" w:color="auto"/>
            <w:right w:val="none" w:sz="0" w:space="0" w:color="auto"/>
          </w:divBdr>
        </w:div>
        <w:div w:id="1232501028">
          <w:marLeft w:val="0"/>
          <w:marRight w:val="0"/>
          <w:marTop w:val="0"/>
          <w:marBottom w:val="0"/>
          <w:divBdr>
            <w:top w:val="none" w:sz="0" w:space="0" w:color="auto"/>
            <w:left w:val="none" w:sz="0" w:space="0" w:color="auto"/>
            <w:bottom w:val="none" w:sz="0" w:space="0" w:color="auto"/>
            <w:right w:val="none" w:sz="0" w:space="0" w:color="auto"/>
          </w:divBdr>
        </w:div>
        <w:div w:id="396975518">
          <w:marLeft w:val="0"/>
          <w:marRight w:val="0"/>
          <w:marTop w:val="0"/>
          <w:marBottom w:val="0"/>
          <w:divBdr>
            <w:top w:val="none" w:sz="0" w:space="0" w:color="auto"/>
            <w:left w:val="none" w:sz="0" w:space="0" w:color="auto"/>
            <w:bottom w:val="none" w:sz="0" w:space="0" w:color="auto"/>
            <w:right w:val="none" w:sz="0" w:space="0" w:color="auto"/>
          </w:divBdr>
        </w:div>
        <w:div w:id="474028846">
          <w:marLeft w:val="0"/>
          <w:marRight w:val="0"/>
          <w:marTop w:val="0"/>
          <w:marBottom w:val="0"/>
          <w:divBdr>
            <w:top w:val="none" w:sz="0" w:space="0" w:color="auto"/>
            <w:left w:val="none" w:sz="0" w:space="0" w:color="auto"/>
            <w:bottom w:val="none" w:sz="0" w:space="0" w:color="auto"/>
            <w:right w:val="none" w:sz="0" w:space="0" w:color="auto"/>
          </w:divBdr>
        </w:div>
      </w:divsChild>
    </w:div>
    <w:div w:id="1137800159">
      <w:bodyDiv w:val="1"/>
      <w:marLeft w:val="0"/>
      <w:marRight w:val="0"/>
      <w:marTop w:val="0"/>
      <w:marBottom w:val="0"/>
      <w:divBdr>
        <w:top w:val="none" w:sz="0" w:space="0" w:color="auto"/>
        <w:left w:val="none" w:sz="0" w:space="0" w:color="auto"/>
        <w:bottom w:val="none" w:sz="0" w:space="0" w:color="auto"/>
        <w:right w:val="none" w:sz="0" w:space="0" w:color="auto"/>
      </w:divBdr>
      <w:divsChild>
        <w:div w:id="862783890">
          <w:marLeft w:val="0"/>
          <w:marRight w:val="0"/>
          <w:marTop w:val="0"/>
          <w:marBottom w:val="0"/>
          <w:divBdr>
            <w:top w:val="none" w:sz="0" w:space="0" w:color="auto"/>
            <w:left w:val="none" w:sz="0" w:space="0" w:color="auto"/>
            <w:bottom w:val="none" w:sz="0" w:space="0" w:color="auto"/>
            <w:right w:val="none" w:sz="0" w:space="0" w:color="auto"/>
          </w:divBdr>
          <w:divsChild>
            <w:div w:id="1936866967">
              <w:marLeft w:val="0"/>
              <w:marRight w:val="0"/>
              <w:marTop w:val="0"/>
              <w:marBottom w:val="0"/>
              <w:divBdr>
                <w:top w:val="none" w:sz="0" w:space="0" w:color="auto"/>
                <w:left w:val="none" w:sz="0" w:space="0" w:color="auto"/>
                <w:bottom w:val="none" w:sz="0" w:space="0" w:color="auto"/>
                <w:right w:val="none" w:sz="0" w:space="0" w:color="auto"/>
              </w:divBdr>
              <w:divsChild>
                <w:div w:id="14994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5795">
      <w:bodyDiv w:val="1"/>
      <w:marLeft w:val="0"/>
      <w:marRight w:val="0"/>
      <w:marTop w:val="0"/>
      <w:marBottom w:val="0"/>
      <w:divBdr>
        <w:top w:val="none" w:sz="0" w:space="0" w:color="auto"/>
        <w:left w:val="none" w:sz="0" w:space="0" w:color="auto"/>
        <w:bottom w:val="none" w:sz="0" w:space="0" w:color="auto"/>
        <w:right w:val="none" w:sz="0" w:space="0" w:color="auto"/>
      </w:divBdr>
    </w:div>
    <w:div w:id="1158960853">
      <w:bodyDiv w:val="1"/>
      <w:marLeft w:val="0"/>
      <w:marRight w:val="0"/>
      <w:marTop w:val="0"/>
      <w:marBottom w:val="0"/>
      <w:divBdr>
        <w:top w:val="none" w:sz="0" w:space="0" w:color="auto"/>
        <w:left w:val="none" w:sz="0" w:space="0" w:color="auto"/>
        <w:bottom w:val="none" w:sz="0" w:space="0" w:color="auto"/>
        <w:right w:val="none" w:sz="0" w:space="0" w:color="auto"/>
      </w:divBdr>
      <w:divsChild>
        <w:div w:id="469401414">
          <w:marLeft w:val="0"/>
          <w:marRight w:val="0"/>
          <w:marTop w:val="0"/>
          <w:marBottom w:val="0"/>
          <w:divBdr>
            <w:top w:val="none" w:sz="0" w:space="0" w:color="auto"/>
            <w:left w:val="none" w:sz="0" w:space="0" w:color="auto"/>
            <w:bottom w:val="none" w:sz="0" w:space="0" w:color="auto"/>
            <w:right w:val="none" w:sz="0" w:space="0" w:color="auto"/>
          </w:divBdr>
          <w:divsChild>
            <w:div w:id="94903225">
              <w:marLeft w:val="0"/>
              <w:marRight w:val="0"/>
              <w:marTop w:val="0"/>
              <w:marBottom w:val="0"/>
              <w:divBdr>
                <w:top w:val="none" w:sz="0" w:space="0" w:color="auto"/>
                <w:left w:val="none" w:sz="0" w:space="0" w:color="auto"/>
                <w:bottom w:val="none" w:sz="0" w:space="0" w:color="auto"/>
                <w:right w:val="none" w:sz="0" w:space="0" w:color="auto"/>
              </w:divBdr>
              <w:divsChild>
                <w:div w:id="5382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759418">
      <w:bodyDiv w:val="1"/>
      <w:marLeft w:val="0"/>
      <w:marRight w:val="0"/>
      <w:marTop w:val="0"/>
      <w:marBottom w:val="0"/>
      <w:divBdr>
        <w:top w:val="none" w:sz="0" w:space="0" w:color="auto"/>
        <w:left w:val="none" w:sz="0" w:space="0" w:color="auto"/>
        <w:bottom w:val="none" w:sz="0" w:space="0" w:color="auto"/>
        <w:right w:val="none" w:sz="0" w:space="0" w:color="auto"/>
      </w:divBdr>
      <w:divsChild>
        <w:div w:id="1060054304">
          <w:marLeft w:val="0"/>
          <w:marRight w:val="0"/>
          <w:marTop w:val="0"/>
          <w:marBottom w:val="0"/>
          <w:divBdr>
            <w:top w:val="none" w:sz="0" w:space="0" w:color="auto"/>
            <w:left w:val="none" w:sz="0" w:space="0" w:color="auto"/>
            <w:bottom w:val="none" w:sz="0" w:space="0" w:color="auto"/>
            <w:right w:val="none" w:sz="0" w:space="0" w:color="auto"/>
          </w:divBdr>
          <w:divsChild>
            <w:div w:id="836774059">
              <w:marLeft w:val="0"/>
              <w:marRight w:val="0"/>
              <w:marTop w:val="0"/>
              <w:marBottom w:val="0"/>
              <w:divBdr>
                <w:top w:val="none" w:sz="0" w:space="0" w:color="auto"/>
                <w:left w:val="none" w:sz="0" w:space="0" w:color="auto"/>
                <w:bottom w:val="none" w:sz="0" w:space="0" w:color="auto"/>
                <w:right w:val="none" w:sz="0" w:space="0" w:color="auto"/>
              </w:divBdr>
              <w:divsChild>
                <w:div w:id="183232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31465">
      <w:bodyDiv w:val="1"/>
      <w:marLeft w:val="0"/>
      <w:marRight w:val="0"/>
      <w:marTop w:val="0"/>
      <w:marBottom w:val="0"/>
      <w:divBdr>
        <w:top w:val="none" w:sz="0" w:space="0" w:color="auto"/>
        <w:left w:val="none" w:sz="0" w:space="0" w:color="auto"/>
        <w:bottom w:val="none" w:sz="0" w:space="0" w:color="auto"/>
        <w:right w:val="none" w:sz="0" w:space="0" w:color="auto"/>
      </w:divBdr>
    </w:div>
    <w:div w:id="1601333484">
      <w:bodyDiv w:val="1"/>
      <w:marLeft w:val="0"/>
      <w:marRight w:val="0"/>
      <w:marTop w:val="0"/>
      <w:marBottom w:val="0"/>
      <w:divBdr>
        <w:top w:val="none" w:sz="0" w:space="0" w:color="auto"/>
        <w:left w:val="none" w:sz="0" w:space="0" w:color="auto"/>
        <w:bottom w:val="none" w:sz="0" w:space="0" w:color="auto"/>
        <w:right w:val="none" w:sz="0" w:space="0" w:color="auto"/>
      </w:divBdr>
      <w:divsChild>
        <w:div w:id="706292868">
          <w:marLeft w:val="0"/>
          <w:marRight w:val="0"/>
          <w:marTop w:val="0"/>
          <w:marBottom w:val="0"/>
          <w:divBdr>
            <w:top w:val="none" w:sz="0" w:space="0" w:color="auto"/>
            <w:left w:val="none" w:sz="0" w:space="0" w:color="auto"/>
            <w:bottom w:val="none" w:sz="0" w:space="0" w:color="auto"/>
            <w:right w:val="none" w:sz="0" w:space="0" w:color="auto"/>
          </w:divBdr>
          <w:divsChild>
            <w:div w:id="1987589672">
              <w:marLeft w:val="0"/>
              <w:marRight w:val="0"/>
              <w:marTop w:val="0"/>
              <w:marBottom w:val="0"/>
              <w:divBdr>
                <w:top w:val="none" w:sz="0" w:space="0" w:color="auto"/>
                <w:left w:val="none" w:sz="0" w:space="0" w:color="auto"/>
                <w:bottom w:val="none" w:sz="0" w:space="0" w:color="auto"/>
                <w:right w:val="none" w:sz="0" w:space="0" w:color="auto"/>
              </w:divBdr>
              <w:divsChild>
                <w:div w:id="203569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594779">
      <w:bodyDiv w:val="1"/>
      <w:marLeft w:val="0"/>
      <w:marRight w:val="0"/>
      <w:marTop w:val="0"/>
      <w:marBottom w:val="0"/>
      <w:divBdr>
        <w:top w:val="none" w:sz="0" w:space="0" w:color="auto"/>
        <w:left w:val="none" w:sz="0" w:space="0" w:color="auto"/>
        <w:bottom w:val="none" w:sz="0" w:space="0" w:color="auto"/>
        <w:right w:val="none" w:sz="0" w:space="0" w:color="auto"/>
      </w:divBdr>
    </w:div>
    <w:div w:id="1852992184">
      <w:bodyDiv w:val="1"/>
      <w:marLeft w:val="0"/>
      <w:marRight w:val="0"/>
      <w:marTop w:val="0"/>
      <w:marBottom w:val="0"/>
      <w:divBdr>
        <w:top w:val="none" w:sz="0" w:space="0" w:color="auto"/>
        <w:left w:val="none" w:sz="0" w:space="0" w:color="auto"/>
        <w:bottom w:val="none" w:sz="0" w:space="0" w:color="auto"/>
        <w:right w:val="none" w:sz="0" w:space="0" w:color="auto"/>
      </w:divBdr>
    </w:div>
    <w:div w:id="1888292373">
      <w:bodyDiv w:val="1"/>
      <w:marLeft w:val="0"/>
      <w:marRight w:val="0"/>
      <w:marTop w:val="0"/>
      <w:marBottom w:val="0"/>
      <w:divBdr>
        <w:top w:val="none" w:sz="0" w:space="0" w:color="auto"/>
        <w:left w:val="none" w:sz="0" w:space="0" w:color="auto"/>
        <w:bottom w:val="none" w:sz="0" w:space="0" w:color="auto"/>
        <w:right w:val="none" w:sz="0" w:space="0" w:color="auto"/>
      </w:divBdr>
    </w:div>
    <w:div w:id="1964340097">
      <w:bodyDiv w:val="1"/>
      <w:marLeft w:val="0"/>
      <w:marRight w:val="0"/>
      <w:marTop w:val="0"/>
      <w:marBottom w:val="0"/>
      <w:divBdr>
        <w:top w:val="none" w:sz="0" w:space="0" w:color="auto"/>
        <w:left w:val="none" w:sz="0" w:space="0" w:color="auto"/>
        <w:bottom w:val="none" w:sz="0" w:space="0" w:color="auto"/>
        <w:right w:val="none" w:sz="0" w:space="0" w:color="auto"/>
      </w:divBdr>
    </w:div>
    <w:div w:id="2066638515">
      <w:bodyDiv w:val="1"/>
      <w:marLeft w:val="0"/>
      <w:marRight w:val="0"/>
      <w:marTop w:val="0"/>
      <w:marBottom w:val="0"/>
      <w:divBdr>
        <w:top w:val="none" w:sz="0" w:space="0" w:color="auto"/>
        <w:left w:val="none" w:sz="0" w:space="0" w:color="auto"/>
        <w:bottom w:val="none" w:sz="0" w:space="0" w:color="auto"/>
        <w:right w:val="none" w:sz="0" w:space="0" w:color="auto"/>
      </w:divBdr>
      <w:divsChild>
        <w:div w:id="450057408">
          <w:marLeft w:val="0"/>
          <w:marRight w:val="0"/>
          <w:marTop w:val="0"/>
          <w:marBottom w:val="0"/>
          <w:divBdr>
            <w:top w:val="none" w:sz="0" w:space="0" w:color="auto"/>
            <w:left w:val="none" w:sz="0" w:space="0" w:color="auto"/>
            <w:bottom w:val="none" w:sz="0" w:space="0" w:color="auto"/>
            <w:right w:val="none" w:sz="0" w:space="0" w:color="auto"/>
          </w:divBdr>
          <w:divsChild>
            <w:div w:id="93980450">
              <w:marLeft w:val="0"/>
              <w:marRight w:val="60"/>
              <w:marTop w:val="0"/>
              <w:marBottom w:val="0"/>
              <w:divBdr>
                <w:top w:val="none" w:sz="0" w:space="0" w:color="auto"/>
                <w:left w:val="none" w:sz="0" w:space="0" w:color="auto"/>
                <w:bottom w:val="none" w:sz="0" w:space="0" w:color="auto"/>
                <w:right w:val="none" w:sz="0" w:space="0" w:color="auto"/>
              </w:divBdr>
              <w:divsChild>
                <w:div w:id="1411661705">
                  <w:marLeft w:val="0"/>
                  <w:marRight w:val="0"/>
                  <w:marTop w:val="0"/>
                  <w:marBottom w:val="120"/>
                  <w:divBdr>
                    <w:top w:val="single" w:sz="6" w:space="0" w:color="C0C0C0"/>
                    <w:left w:val="single" w:sz="6" w:space="0" w:color="D9D9D9"/>
                    <w:bottom w:val="single" w:sz="6" w:space="0" w:color="D9D9D9"/>
                    <w:right w:val="single" w:sz="6" w:space="0" w:color="D9D9D9"/>
                  </w:divBdr>
                  <w:divsChild>
                    <w:div w:id="357119535">
                      <w:marLeft w:val="0"/>
                      <w:marRight w:val="0"/>
                      <w:marTop w:val="0"/>
                      <w:marBottom w:val="0"/>
                      <w:divBdr>
                        <w:top w:val="none" w:sz="0" w:space="0" w:color="auto"/>
                        <w:left w:val="none" w:sz="0" w:space="0" w:color="auto"/>
                        <w:bottom w:val="none" w:sz="0" w:space="0" w:color="auto"/>
                        <w:right w:val="none" w:sz="0" w:space="0" w:color="auto"/>
                      </w:divBdr>
                    </w:div>
                    <w:div w:id="13518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462611">
          <w:marLeft w:val="0"/>
          <w:marRight w:val="0"/>
          <w:marTop w:val="0"/>
          <w:marBottom w:val="0"/>
          <w:divBdr>
            <w:top w:val="none" w:sz="0" w:space="0" w:color="auto"/>
            <w:left w:val="none" w:sz="0" w:space="0" w:color="auto"/>
            <w:bottom w:val="none" w:sz="0" w:space="0" w:color="auto"/>
            <w:right w:val="none" w:sz="0" w:space="0" w:color="auto"/>
          </w:divBdr>
          <w:divsChild>
            <w:div w:id="1346858453">
              <w:marLeft w:val="60"/>
              <w:marRight w:val="0"/>
              <w:marTop w:val="0"/>
              <w:marBottom w:val="0"/>
              <w:divBdr>
                <w:top w:val="none" w:sz="0" w:space="0" w:color="auto"/>
                <w:left w:val="none" w:sz="0" w:space="0" w:color="auto"/>
                <w:bottom w:val="none" w:sz="0" w:space="0" w:color="auto"/>
                <w:right w:val="none" w:sz="0" w:space="0" w:color="auto"/>
              </w:divBdr>
              <w:divsChild>
                <w:div w:id="2020422915">
                  <w:marLeft w:val="0"/>
                  <w:marRight w:val="0"/>
                  <w:marTop w:val="0"/>
                  <w:marBottom w:val="0"/>
                  <w:divBdr>
                    <w:top w:val="none" w:sz="0" w:space="0" w:color="auto"/>
                    <w:left w:val="none" w:sz="0" w:space="0" w:color="auto"/>
                    <w:bottom w:val="none" w:sz="0" w:space="0" w:color="auto"/>
                    <w:right w:val="none" w:sz="0" w:space="0" w:color="auto"/>
                  </w:divBdr>
                  <w:divsChild>
                    <w:div w:id="2096432565">
                      <w:marLeft w:val="0"/>
                      <w:marRight w:val="0"/>
                      <w:marTop w:val="0"/>
                      <w:marBottom w:val="120"/>
                      <w:divBdr>
                        <w:top w:val="single" w:sz="6" w:space="0" w:color="F5F5F5"/>
                        <w:left w:val="single" w:sz="6" w:space="0" w:color="F5F5F5"/>
                        <w:bottom w:val="single" w:sz="6" w:space="0" w:color="F5F5F5"/>
                        <w:right w:val="single" w:sz="6" w:space="0" w:color="F5F5F5"/>
                      </w:divBdr>
                      <w:divsChild>
                        <w:div w:id="338505831">
                          <w:marLeft w:val="0"/>
                          <w:marRight w:val="0"/>
                          <w:marTop w:val="0"/>
                          <w:marBottom w:val="0"/>
                          <w:divBdr>
                            <w:top w:val="none" w:sz="0" w:space="0" w:color="auto"/>
                            <w:left w:val="none" w:sz="0" w:space="0" w:color="auto"/>
                            <w:bottom w:val="none" w:sz="0" w:space="0" w:color="auto"/>
                            <w:right w:val="none" w:sz="0" w:space="0" w:color="auto"/>
                          </w:divBdr>
                          <w:divsChild>
                            <w:div w:id="169529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921142">
      <w:bodyDiv w:val="1"/>
      <w:marLeft w:val="0"/>
      <w:marRight w:val="0"/>
      <w:marTop w:val="0"/>
      <w:marBottom w:val="0"/>
      <w:divBdr>
        <w:top w:val="none" w:sz="0" w:space="0" w:color="auto"/>
        <w:left w:val="none" w:sz="0" w:space="0" w:color="auto"/>
        <w:bottom w:val="none" w:sz="0" w:space="0" w:color="auto"/>
        <w:right w:val="none" w:sz="0" w:space="0" w:color="auto"/>
      </w:divBdr>
      <w:divsChild>
        <w:div w:id="324937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arthenginepartners.appspot.com/science-2013-global-for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ed4137b-41b2-488b-8250-6d369ec27664">
      <Value>763</Value>
      <Value>233</Value>
      <Value>349</Value>
      <Value>1522</Value>
      <Value>1112</Value>
      <Value>1545</Value>
    </TaxCatchAll>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2023-02-02T13:00:00+00:00</UNDPPublishedDate>
    <UNDPCountryTaxHTField0 xmlns="1ed4137b-41b2-488b-8250-6d369ec27664">
      <Terms xmlns="http://schemas.microsoft.com/office/infopath/2007/PartnerControls">
        <TermInfo xmlns="http://schemas.microsoft.com/office/infopath/2007/PartnerControls">
          <TermName xmlns="http://schemas.microsoft.com/office/infopath/2007/PartnerControls">Mali</TermName>
          <TermId xmlns="http://schemas.microsoft.com/office/infopath/2007/PartnerControls">60b115b0-b60b-4fa6-9a61-ae1e779981bf</TermId>
        </TermInfo>
      </Terms>
    </UNDPCountryTaxHTField0>
    <UndpOUCode xmlns="1ed4137b-41b2-488b-8250-6d369ec27664">MLI</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Conservation and sustainable use of biodiversity</TermName>
          <TermId xmlns="http://schemas.microsoft.com/office/infopath/2007/PartnerControls">4c344357-9212-4471-9d62-07c8dcbfce93</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03c70d0e-c75e-4cfb-8288-e692640ede14</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2022-12-31T05:00:00+00:00</Document_x0020_Coverage_x0020_Period_x0020_Start_x0020_Date>
    <Document_x0020_Coverage_x0020_Period_x0020_End_x0020_Date xmlns="f1161f5b-24a3-4c2d-bc81-44cb9325e8ee">2022-12-31T05:00:00+00:00</Document_x0020_Coverage_x0020_Period_x0020_End_x0020_Date>
    <Project_x0020_Number xmlns="f1161f5b-24a3-4c2d-bc81-44cb9325e8ee" xsi:nil="true"/>
    <Project_x0020_Manager xmlns="f1161f5b-24a3-4c2d-bc81-44cb9325e8ee" xsi:nil="true"/>
    <c4e2ab2cc9354bbf9064eeb465a566ea xmlns="1ed4137b-41b2-488b-8250-6d369ec27664">
      <Terms xmlns="http://schemas.microsoft.com/office/infopath/2007/PartnerControls"/>
    </c4e2ab2cc9354bbf9064eeb465a566ea>
    <UndpProjectNo xmlns="1ed4137b-41b2-488b-8250-6d369ec27664">00108261</UndpProjectNo>
    <UndpDocStatus xmlns="1ed4137b-41b2-488b-8250-6d369ec27664">Final</UndpDocStatus>
    <Outcome1 xmlns="f1161f5b-24a3-4c2d-bc81-44cb9325e8ee">00108188</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MLI</TermName>
          <TermId xmlns="http://schemas.microsoft.com/office/infopath/2007/PartnerControls">7a870009-9966-4078-9dda-f4f8eecee481</TermId>
        </TermInfo>
      </Terms>
    </gc6531b704974d528487414686b72f6f>
    <_dlc_DocId xmlns="f1161f5b-24a3-4c2d-bc81-44cb9325e8ee">ATLASPDC-4-168658</_dlc_DocId>
    <_dlc_DocIdUrl xmlns="f1161f5b-24a3-4c2d-bc81-44cb9325e8ee">
      <Url>https://info.undp.org/docs/pdc/_layouts/DocIdRedir.aspx?ID=ATLASPDC-4-168658</Url>
      <Description>ATLASPDC-4-168658</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3605A66-48CE-4FC9-B48A-C4EB991B0A4C}"/>
</file>

<file path=customXml/itemProps2.xml><?xml version="1.0" encoding="utf-8"?>
<ds:datastoreItem xmlns:ds="http://schemas.openxmlformats.org/officeDocument/2006/customXml" ds:itemID="{C1520C49-E767-4789-A478-07D999DD506B}">
  <ds:schemaRefs>
    <ds:schemaRef ds:uri="http://schemas.microsoft.com/sharepoint/v3/contenttype/forms"/>
  </ds:schemaRefs>
</ds:datastoreItem>
</file>

<file path=customXml/itemProps3.xml><?xml version="1.0" encoding="utf-8"?>
<ds:datastoreItem xmlns:ds="http://schemas.openxmlformats.org/officeDocument/2006/customXml" ds:itemID="{F3BBDBB7-500F-4374-8B05-304145388D7B}">
  <ds:schemaRefs>
    <ds:schemaRef ds:uri="http://schemas.openxmlformats.org/officeDocument/2006/bibliography"/>
  </ds:schemaRefs>
</ds:datastoreItem>
</file>

<file path=customXml/itemProps4.xml><?xml version="1.0" encoding="utf-8"?>
<ds:datastoreItem xmlns:ds="http://schemas.openxmlformats.org/officeDocument/2006/customXml" ds:itemID="{E6F6F5A8-6EC8-4DC6-AE4A-2170C06BC7C6}"/>
</file>

<file path=customXml/itemProps5.xml><?xml version="1.0" encoding="utf-8"?>
<ds:datastoreItem xmlns:ds="http://schemas.openxmlformats.org/officeDocument/2006/customXml" ds:itemID="{FD98EA9B-9274-4FB7-B14C-263B7A35A8B2}"/>
</file>

<file path=customXml/itemProps6.xml><?xml version="1.0" encoding="utf-8"?>
<ds:datastoreItem xmlns:ds="http://schemas.openxmlformats.org/officeDocument/2006/customXml" ds:itemID="{94080A3E-6BC4-425A-8331-6FB3D16F78E4}"/>
</file>

<file path=docProps/app.xml><?xml version="1.0" encoding="utf-8"?>
<Properties xmlns="http://schemas.openxmlformats.org/officeDocument/2006/extended-properties" xmlns:vt="http://schemas.openxmlformats.org/officeDocument/2006/docPropsVTypes">
  <Template>Normal</Template>
  <TotalTime>1</TotalTime>
  <Pages>21</Pages>
  <Words>7778</Words>
  <Characters>42782</Characters>
  <Application>Microsoft Office Word</Application>
  <DocSecurity>0</DocSecurity>
  <Lines>356</Lines>
  <Paragraphs>100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Gestion communautaire des ressources naturelles qui résout les conflits, améliore les moyens de subsistance et restaure les écosystèmes dans l'ensemble de l'aire de répartition des éléphants</dc:title>
  <dc:subject/>
  <dc:creator>Wild Foundation</dc:creator>
  <cp:lastModifiedBy>Ali Sambou</cp:lastModifiedBy>
  <cp:revision>2</cp:revision>
  <cp:lastPrinted>2015-06-02T14:57:00Z</cp:lastPrinted>
  <dcterms:created xsi:type="dcterms:W3CDTF">2023-01-18T15:13:00Z</dcterms:created>
  <dcterms:modified xsi:type="dcterms:W3CDTF">2023-01-18T15:13:00Z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1545;#Mali|60b115b0-b60b-4fa6-9a61-ae1e779981bf</vt:lpwstr>
  </property>
  <property fmtid="{D5CDD505-2E9C-101B-9397-08002B2CF9AE}" pid="4" name="UndpDocTypeMM">
    <vt:lpwstr/>
  </property>
  <property fmtid="{D5CDD505-2E9C-101B-9397-08002B2CF9AE}" pid="5" name="UNDPDocumentCategory">
    <vt:lpwstr/>
  </property>
  <property fmtid="{D5CDD505-2E9C-101B-9397-08002B2CF9AE}" pid="6" name="UN Languages">
    <vt:lpwstr>233;#French|946783f8-cd0b-41e2-848e-7777f631248e</vt:lpwstr>
  </property>
  <property fmtid="{D5CDD505-2E9C-101B-9397-08002B2CF9AE}" pid="7" name="Operating Unit0">
    <vt:lpwstr>1522;#MLI|7a870009-9966-4078-9dda-f4f8eecee481</vt:lpwstr>
  </property>
  <property fmtid="{D5CDD505-2E9C-101B-9397-08002B2CF9AE}" pid="8" name="Atlas Document Status">
    <vt:lpwstr>763;#Draft|121d40a5-e62e-4d42-82e4-d6d12003de0a</vt:lpwstr>
  </property>
  <property fmtid="{D5CDD505-2E9C-101B-9397-08002B2CF9AE}" pid="9" name="Atlas Document Type">
    <vt:lpwstr>1112;#Progress Report|03c70d0e-c75e-4cfb-8288-e692640ede14</vt:lpwstr>
  </property>
  <property fmtid="{D5CDD505-2E9C-101B-9397-08002B2CF9AE}" pid="10" name="eRegFilingCodeMM">
    <vt:lpwstr/>
  </property>
  <property fmtid="{D5CDD505-2E9C-101B-9397-08002B2CF9AE}" pid="11" name="UndpUnitMM">
    <vt:lpwstr/>
  </property>
  <property fmtid="{D5CDD505-2E9C-101B-9397-08002B2CF9AE}" pid="12" name="UNDPFocusAreas">
    <vt:lpwstr>349;#Conservation and sustainable use of biodiversity|4c344357-9212-4471-9d62-07c8dcbfce93</vt:lpwstr>
  </property>
  <property fmtid="{D5CDD505-2E9C-101B-9397-08002B2CF9AE}" pid="13" name="_dlc_DocIdItemGuid">
    <vt:lpwstr>8603da3e-3d7c-4900-8aec-f31abf3ddb57</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